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135424">
      <w:pPr>
        <w:tabs>
          <w:tab w:val="left" w:pos="360"/>
        </w:tabs>
        <w:spacing w:line="360" w:lineRule="auto"/>
        <w:jc w:val="left"/>
        <w:rPr>
          <w:color w:val="FFFFFF"/>
          <w:sz w:val="40"/>
          <w:szCs w:val="44"/>
          <w:u w:val="single"/>
        </w:rPr>
      </w:pPr>
      <w:r>
        <w:rPr>
          <w:color w:val="FFFFFF"/>
          <w:sz w:val="20"/>
          <w:szCs w:val="21"/>
        </w:rPr>
        <w:t>CIFI-JBSK-2020（采购）008</w:t>
      </w:r>
    </w:p>
    <w:p w14:paraId="3345E8B2">
      <w:pPr>
        <w:tabs>
          <w:tab w:val="left" w:pos="360"/>
        </w:tabs>
        <w:spacing w:line="360" w:lineRule="auto"/>
        <w:jc w:val="left"/>
        <w:rPr>
          <w:b/>
          <w:color w:val="000000"/>
          <w:szCs w:val="21"/>
        </w:rPr>
      </w:pPr>
    </w:p>
    <w:p w14:paraId="156FCBBE">
      <w:pPr>
        <w:jc w:val="both"/>
        <w:rPr>
          <w:rFonts w:hint="eastAsia"/>
          <w:b/>
          <w:color w:val="000000"/>
          <w:sz w:val="52"/>
          <w:szCs w:val="52"/>
        </w:rPr>
      </w:pPr>
    </w:p>
    <w:p w14:paraId="0BCA4356">
      <w:pPr>
        <w:jc w:val="center"/>
        <w:rPr>
          <w:rFonts w:hint="eastAsia"/>
          <w:b/>
          <w:color w:val="000000"/>
          <w:sz w:val="52"/>
          <w:szCs w:val="52"/>
        </w:rPr>
      </w:pPr>
      <w:r>
        <w:rPr>
          <w:rFonts w:hint="eastAsia"/>
          <w:b/>
          <w:color w:val="000000"/>
          <w:sz w:val="48"/>
          <w:szCs w:val="48"/>
          <w:lang w:val="en-US" w:eastAsia="zh-CN"/>
        </w:rPr>
        <w:t>储能系统集成及新型动力电池</w:t>
      </w:r>
      <w:r>
        <w:rPr>
          <w:rFonts w:hint="eastAsia"/>
          <w:b/>
          <w:color w:val="000000"/>
          <w:sz w:val="48"/>
          <w:szCs w:val="48"/>
        </w:rPr>
        <w:t>项目</w:t>
      </w:r>
    </w:p>
    <w:p w14:paraId="189A1F54">
      <w:pPr>
        <w:jc w:val="center"/>
        <w:rPr>
          <w:rFonts w:hint="eastAsia"/>
          <w:b/>
          <w:color w:val="000000"/>
          <w:sz w:val="48"/>
          <w:szCs w:val="48"/>
        </w:rPr>
      </w:pPr>
      <w:r>
        <w:rPr>
          <w:rFonts w:hint="eastAsia"/>
          <w:b/>
          <w:color w:val="000000"/>
          <w:sz w:val="48"/>
          <w:szCs w:val="48"/>
        </w:rPr>
        <w:t>供配电工程</w:t>
      </w:r>
    </w:p>
    <w:p w14:paraId="54B9CDAE">
      <w:pPr>
        <w:jc w:val="center"/>
        <w:rPr>
          <w:b/>
          <w:color w:val="000000"/>
          <w:sz w:val="48"/>
          <w:szCs w:val="48"/>
        </w:rPr>
      </w:pPr>
    </w:p>
    <w:p w14:paraId="70FB003B">
      <w:pPr>
        <w:jc w:val="center"/>
        <w:rPr>
          <w:b/>
          <w:color w:val="000000"/>
          <w:sz w:val="48"/>
          <w:szCs w:val="48"/>
        </w:rPr>
      </w:pPr>
    </w:p>
    <w:p w14:paraId="36A6BAE1">
      <w:pPr>
        <w:jc w:val="center"/>
        <w:rPr>
          <w:b/>
          <w:color w:val="000000"/>
          <w:sz w:val="48"/>
          <w:szCs w:val="48"/>
        </w:rPr>
      </w:pPr>
    </w:p>
    <w:p w14:paraId="0A2C529C">
      <w:pPr>
        <w:jc w:val="center"/>
        <w:rPr>
          <w:b/>
          <w:color w:val="000000"/>
          <w:sz w:val="72"/>
          <w:szCs w:val="72"/>
        </w:rPr>
      </w:pPr>
      <w:r>
        <w:rPr>
          <w:b/>
          <w:color w:val="000000"/>
          <w:sz w:val="72"/>
          <w:szCs w:val="72"/>
        </w:rPr>
        <w:t>招</w:t>
      </w:r>
    </w:p>
    <w:p w14:paraId="1A74FE1B">
      <w:pPr>
        <w:jc w:val="center"/>
        <w:rPr>
          <w:b/>
          <w:color w:val="000000"/>
          <w:sz w:val="72"/>
          <w:szCs w:val="72"/>
        </w:rPr>
      </w:pPr>
      <w:r>
        <w:rPr>
          <w:b/>
          <w:color w:val="000000"/>
          <w:sz w:val="72"/>
          <w:szCs w:val="72"/>
        </w:rPr>
        <w:t>标</w:t>
      </w:r>
    </w:p>
    <w:p w14:paraId="1F10545D">
      <w:pPr>
        <w:jc w:val="center"/>
        <w:rPr>
          <w:b/>
          <w:color w:val="000000"/>
          <w:sz w:val="72"/>
          <w:szCs w:val="72"/>
        </w:rPr>
      </w:pPr>
      <w:r>
        <w:rPr>
          <w:b/>
          <w:color w:val="000000"/>
          <w:sz w:val="72"/>
          <w:szCs w:val="72"/>
        </w:rPr>
        <w:t>文</w:t>
      </w:r>
    </w:p>
    <w:p w14:paraId="4ABCAC04">
      <w:pPr>
        <w:jc w:val="center"/>
        <w:rPr>
          <w:b/>
          <w:color w:val="000000"/>
          <w:sz w:val="72"/>
          <w:szCs w:val="72"/>
        </w:rPr>
      </w:pPr>
      <w:r>
        <w:rPr>
          <w:b/>
          <w:color w:val="000000"/>
          <w:sz w:val="72"/>
          <w:szCs w:val="72"/>
        </w:rPr>
        <w:t>件</w:t>
      </w:r>
    </w:p>
    <w:p w14:paraId="7C546E8B">
      <w:pPr>
        <w:jc w:val="center"/>
        <w:rPr>
          <w:b/>
          <w:color w:val="000000"/>
          <w:sz w:val="30"/>
          <w:szCs w:val="30"/>
        </w:rPr>
      </w:pPr>
    </w:p>
    <w:p w14:paraId="22E08E99">
      <w:pPr>
        <w:jc w:val="center"/>
        <w:rPr>
          <w:b/>
          <w:color w:val="000000"/>
          <w:sz w:val="30"/>
          <w:szCs w:val="30"/>
        </w:rPr>
      </w:pPr>
    </w:p>
    <w:p w14:paraId="718D8BCA">
      <w:pPr>
        <w:jc w:val="center"/>
        <w:rPr>
          <w:b/>
          <w:color w:val="000000"/>
          <w:sz w:val="30"/>
          <w:szCs w:val="30"/>
        </w:rPr>
      </w:pPr>
    </w:p>
    <w:tbl>
      <w:tblPr>
        <w:tblStyle w:val="8"/>
        <w:tblW w:w="6652" w:type="dxa"/>
        <w:jc w:val="center"/>
        <w:tblLayout w:type="autofit"/>
        <w:tblCellMar>
          <w:top w:w="0" w:type="dxa"/>
          <w:left w:w="108" w:type="dxa"/>
          <w:bottom w:w="0" w:type="dxa"/>
          <w:right w:w="108" w:type="dxa"/>
        </w:tblCellMar>
      </w:tblPr>
      <w:tblGrid>
        <w:gridCol w:w="2193"/>
        <w:gridCol w:w="4459"/>
      </w:tblGrid>
      <w:tr w14:paraId="7948DBC3">
        <w:tblPrEx>
          <w:tblCellMar>
            <w:top w:w="0" w:type="dxa"/>
            <w:left w:w="108" w:type="dxa"/>
            <w:bottom w:w="0" w:type="dxa"/>
            <w:right w:w="108" w:type="dxa"/>
          </w:tblCellMar>
        </w:tblPrEx>
        <w:trPr>
          <w:jc w:val="center"/>
        </w:trPr>
        <w:tc>
          <w:tcPr>
            <w:tcW w:w="2193" w:type="dxa"/>
            <w:tcMar>
              <w:left w:w="0" w:type="dxa"/>
              <w:right w:w="0" w:type="dxa"/>
            </w:tcMar>
            <w:tcFitText/>
            <w:vAlign w:val="center"/>
          </w:tcPr>
          <w:p w14:paraId="14C6BF11">
            <w:pPr>
              <w:pStyle w:val="4"/>
              <w:rPr>
                <w:rFonts w:ascii="Times New Roman" w:hAnsi="Times New Roman"/>
                <w:b/>
                <w:color w:val="000000"/>
                <w:spacing w:val="32"/>
                <w:sz w:val="30"/>
                <w:lang w:val="en-US" w:eastAsia="zh-CN"/>
              </w:rPr>
            </w:pPr>
            <w:r>
              <w:rPr>
                <w:rFonts w:ascii="Times New Roman" w:hAnsi="Times New Roman"/>
                <w:b/>
                <w:color w:val="000000"/>
                <w:spacing w:val="161"/>
                <w:sz w:val="30"/>
                <w:lang w:val="en-US" w:eastAsia="zh-CN"/>
              </w:rPr>
              <w:t>招标人</w:t>
            </w:r>
            <w:r>
              <w:rPr>
                <w:rFonts w:ascii="Times New Roman" w:hAnsi="Times New Roman"/>
                <w:b/>
                <w:color w:val="000000"/>
                <w:spacing w:val="1"/>
                <w:sz w:val="30"/>
                <w:lang w:val="en-US" w:eastAsia="zh-CN"/>
              </w:rPr>
              <w:t>：</w:t>
            </w:r>
          </w:p>
        </w:tc>
        <w:tc>
          <w:tcPr>
            <w:tcW w:w="4459" w:type="dxa"/>
            <w:tcMar>
              <w:left w:w="0" w:type="dxa"/>
              <w:right w:w="0" w:type="dxa"/>
            </w:tcMar>
            <w:tcFitText/>
            <w:vAlign w:val="center"/>
          </w:tcPr>
          <w:p w14:paraId="0E25ED63">
            <w:pPr>
              <w:pStyle w:val="4"/>
              <w:rPr>
                <w:rFonts w:ascii="Times New Roman" w:hAnsi="Times New Roman"/>
                <w:b/>
                <w:color w:val="000000"/>
                <w:spacing w:val="0"/>
                <w:sz w:val="30"/>
                <w:lang w:val="en-US" w:eastAsia="zh-CN"/>
              </w:rPr>
            </w:pPr>
            <w:r>
              <w:rPr>
                <w:rFonts w:hint="eastAsia" w:ascii="Times New Roman" w:hAnsi="Times New Roman"/>
                <w:b/>
                <w:color w:val="000000"/>
                <w:spacing w:val="15"/>
                <w:w w:val="98"/>
                <w:sz w:val="30"/>
                <w:lang w:val="en-US" w:eastAsia="zh-CN"/>
              </w:rPr>
              <w:t>安徽巡鹰能源科技有限公司</w:t>
            </w:r>
            <w:r>
              <w:rPr>
                <w:rFonts w:ascii="Times New Roman" w:hAnsi="Times New Roman"/>
                <w:b/>
                <w:color w:val="000000"/>
                <w:spacing w:val="15"/>
                <w:w w:val="98"/>
                <w:sz w:val="30"/>
                <w:lang w:val="en-US" w:eastAsia="zh-CN"/>
              </w:rPr>
              <w:t xml:space="preserve">  </w:t>
            </w:r>
            <w:r>
              <w:rPr>
                <w:rFonts w:ascii="Times New Roman" w:hAnsi="Times New Roman"/>
                <w:b/>
                <w:color w:val="000000"/>
                <w:spacing w:val="0"/>
                <w:w w:val="98"/>
                <w:sz w:val="30"/>
                <w:lang w:val="en-US" w:eastAsia="zh-CN"/>
              </w:rPr>
              <w:t xml:space="preserve"> </w:t>
            </w:r>
          </w:p>
        </w:tc>
      </w:tr>
    </w:tbl>
    <w:p w14:paraId="0896D4B8">
      <w:pPr>
        <w:pStyle w:val="4"/>
        <w:jc w:val="center"/>
        <w:rPr>
          <w:rFonts w:ascii="Times New Roman" w:hAnsi="Times New Roman"/>
          <w:b/>
          <w:color w:val="000000"/>
          <w:spacing w:val="13"/>
          <w:sz w:val="30"/>
        </w:rPr>
      </w:pPr>
    </w:p>
    <w:p w14:paraId="38F89C2A">
      <w:pPr>
        <w:pStyle w:val="4"/>
        <w:jc w:val="center"/>
        <w:rPr>
          <w:rFonts w:ascii="Times New Roman" w:hAnsi="Times New Roman"/>
          <w:b/>
          <w:color w:val="000000"/>
          <w:spacing w:val="13"/>
          <w:sz w:val="30"/>
        </w:rPr>
      </w:pPr>
      <w:r>
        <w:rPr>
          <w:rFonts w:ascii="Times New Roman" w:hAnsi="Times New Roman"/>
          <w:b/>
          <w:color w:val="000000"/>
          <w:spacing w:val="13"/>
          <w:sz w:val="30"/>
        </w:rPr>
        <w:t>中国·</w:t>
      </w:r>
      <w:r>
        <w:rPr>
          <w:rFonts w:ascii="Times New Roman" w:hAnsi="Times New Roman"/>
          <w:b/>
          <w:color w:val="000000"/>
          <w:spacing w:val="13"/>
          <w:sz w:val="30"/>
          <w:u w:val="single"/>
        </w:rPr>
        <w:t xml:space="preserve"> </w:t>
      </w:r>
      <w:r>
        <w:rPr>
          <w:rFonts w:hint="eastAsia" w:ascii="Times New Roman" w:hAnsi="Times New Roman"/>
          <w:b/>
          <w:color w:val="000000"/>
          <w:spacing w:val="13"/>
          <w:sz w:val="30"/>
          <w:u w:val="single"/>
          <w:lang w:eastAsia="zh-CN"/>
        </w:rPr>
        <w:t>合肥</w:t>
      </w:r>
      <w:r>
        <w:rPr>
          <w:rFonts w:ascii="Times New Roman" w:hAnsi="Times New Roman"/>
          <w:b/>
          <w:color w:val="000000"/>
          <w:spacing w:val="13"/>
          <w:sz w:val="30"/>
          <w:u w:val="single"/>
        </w:rPr>
        <w:t xml:space="preserve"> </w:t>
      </w:r>
      <w:r>
        <w:rPr>
          <w:rFonts w:ascii="Times New Roman" w:hAnsi="Times New Roman"/>
          <w:b/>
          <w:color w:val="000000"/>
          <w:spacing w:val="13"/>
          <w:sz w:val="30"/>
        </w:rPr>
        <w:t>市</w:t>
      </w:r>
    </w:p>
    <w:p w14:paraId="687B898B">
      <w:pPr>
        <w:pStyle w:val="4"/>
        <w:jc w:val="center"/>
        <w:rPr>
          <w:rFonts w:ascii="Times New Roman" w:hAnsi="Times New Roman"/>
          <w:b/>
          <w:color w:val="000000"/>
          <w:spacing w:val="13"/>
          <w:sz w:val="30"/>
        </w:rPr>
      </w:pPr>
      <w:r>
        <w:rPr>
          <w:rFonts w:ascii="Times New Roman" w:hAnsi="Times New Roman"/>
          <w:b/>
          <w:color w:val="000000"/>
          <w:spacing w:val="13"/>
          <w:sz w:val="30"/>
        </w:rPr>
        <w:t>二</w:t>
      </w:r>
      <w:r>
        <w:rPr>
          <w:rFonts w:hint="eastAsia" w:ascii="Times New Roman" w:hAnsi="Times New Roman"/>
          <w:b/>
          <w:color w:val="000000"/>
          <w:spacing w:val="13"/>
          <w:sz w:val="30"/>
          <w:lang w:eastAsia="zh-CN"/>
        </w:rPr>
        <w:t>〇</w:t>
      </w:r>
      <w:r>
        <w:rPr>
          <w:rFonts w:hint="eastAsia" w:ascii="Times New Roman" w:hAnsi="Times New Roman"/>
          <w:b/>
          <w:color w:val="000000"/>
          <w:spacing w:val="13"/>
          <w:sz w:val="30"/>
          <w:u w:val="single"/>
          <w:lang w:eastAsia="zh-CN"/>
        </w:rPr>
        <w:t>二</w:t>
      </w:r>
      <w:r>
        <w:rPr>
          <w:rFonts w:hint="eastAsia" w:ascii="Times New Roman" w:hAnsi="Times New Roman"/>
          <w:b/>
          <w:color w:val="000000"/>
          <w:spacing w:val="13"/>
          <w:sz w:val="30"/>
          <w:u w:val="single"/>
          <w:lang w:val="en-US" w:eastAsia="zh-CN"/>
        </w:rPr>
        <w:t>四</w:t>
      </w:r>
      <w:r>
        <w:rPr>
          <w:rFonts w:ascii="Times New Roman" w:hAnsi="Times New Roman"/>
          <w:b/>
          <w:color w:val="000000"/>
          <w:spacing w:val="13"/>
          <w:sz w:val="30"/>
        </w:rPr>
        <w:t>年</w:t>
      </w:r>
      <w:r>
        <w:rPr>
          <w:rFonts w:ascii="Times New Roman" w:hAnsi="Times New Roman"/>
          <w:b/>
          <w:color w:val="000000"/>
          <w:spacing w:val="13"/>
          <w:sz w:val="30"/>
          <w:u w:val="single"/>
        </w:rPr>
        <w:t xml:space="preserve"> </w:t>
      </w:r>
      <w:r>
        <w:rPr>
          <w:rFonts w:hint="eastAsia" w:ascii="Times New Roman" w:hAnsi="Times New Roman"/>
          <w:b/>
          <w:color w:val="000000"/>
          <w:spacing w:val="13"/>
          <w:sz w:val="30"/>
          <w:u w:val="single"/>
          <w:lang w:val="en-US" w:eastAsia="zh-CN"/>
        </w:rPr>
        <w:t>9</w:t>
      </w:r>
      <w:r>
        <w:rPr>
          <w:rFonts w:ascii="Times New Roman" w:hAnsi="Times New Roman"/>
          <w:b/>
          <w:color w:val="000000"/>
          <w:spacing w:val="13"/>
          <w:sz w:val="30"/>
          <w:u w:val="single"/>
        </w:rPr>
        <w:t xml:space="preserve"> </w:t>
      </w:r>
      <w:r>
        <w:rPr>
          <w:rFonts w:ascii="Times New Roman" w:hAnsi="Times New Roman"/>
          <w:b/>
          <w:color w:val="000000"/>
          <w:spacing w:val="13"/>
          <w:sz w:val="30"/>
        </w:rPr>
        <w:t>月</w:t>
      </w:r>
    </w:p>
    <w:p w14:paraId="00E935C2">
      <w:pPr>
        <w:rPr>
          <w:color w:val="000000"/>
        </w:rPr>
        <w:sectPr>
          <w:headerReference r:id="rId3" w:type="default"/>
          <w:pgSz w:w="11906" w:h="16838"/>
          <w:pgMar w:top="1134" w:right="1134" w:bottom="1134" w:left="1134" w:header="567" w:footer="567" w:gutter="0"/>
          <w:cols w:space="425" w:num="1"/>
          <w:docGrid w:type="lines" w:linePitch="312" w:charSpace="0"/>
        </w:sectPr>
      </w:pPr>
    </w:p>
    <w:p w14:paraId="3571E12D">
      <w:pPr>
        <w:pStyle w:val="2"/>
        <w:jc w:val="center"/>
        <w:rPr>
          <w:color w:val="000000"/>
          <w:sz w:val="32"/>
          <w:szCs w:val="32"/>
        </w:rPr>
      </w:pPr>
      <w:bookmarkStart w:id="0" w:name="_Toc311737689"/>
      <w:r>
        <w:rPr>
          <w:color w:val="000000"/>
          <w:sz w:val="32"/>
          <w:szCs w:val="32"/>
        </w:rPr>
        <w:t>投标须知前附表</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2115"/>
        <w:gridCol w:w="6972"/>
      </w:tblGrid>
      <w:tr w14:paraId="68A1C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blHeader/>
          <w:jc w:val="center"/>
        </w:trPr>
        <w:tc>
          <w:tcPr>
            <w:tcW w:w="389" w:type="pct"/>
            <w:vAlign w:val="center"/>
          </w:tcPr>
          <w:p w14:paraId="03EC7615">
            <w:pPr>
              <w:ind w:right="-108"/>
              <w:rPr>
                <w:color w:val="000000"/>
              </w:rPr>
            </w:pPr>
            <w:r>
              <w:rPr>
                <w:color w:val="000000"/>
              </w:rPr>
              <w:t>序号</w:t>
            </w:r>
          </w:p>
        </w:tc>
        <w:tc>
          <w:tcPr>
            <w:tcW w:w="1073" w:type="pct"/>
            <w:vAlign w:val="center"/>
          </w:tcPr>
          <w:p w14:paraId="7D4433C9">
            <w:pPr>
              <w:rPr>
                <w:color w:val="000000"/>
              </w:rPr>
            </w:pPr>
            <w:r>
              <w:rPr>
                <w:color w:val="000000"/>
              </w:rPr>
              <w:t>内   容</w:t>
            </w:r>
          </w:p>
        </w:tc>
        <w:tc>
          <w:tcPr>
            <w:tcW w:w="3537" w:type="pct"/>
            <w:vAlign w:val="center"/>
          </w:tcPr>
          <w:p w14:paraId="7A6BE689">
            <w:pPr>
              <w:jc w:val="center"/>
              <w:rPr>
                <w:color w:val="000000"/>
              </w:rPr>
            </w:pPr>
            <w:r>
              <w:rPr>
                <w:color w:val="000000"/>
              </w:rPr>
              <w:t>说  明  与  要  求</w:t>
            </w:r>
          </w:p>
        </w:tc>
      </w:tr>
      <w:tr w14:paraId="3D322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389" w:type="pct"/>
            <w:vAlign w:val="center"/>
          </w:tcPr>
          <w:p w14:paraId="2271F60C">
            <w:pPr>
              <w:numPr>
                <w:ilvl w:val="0"/>
                <w:numId w:val="2"/>
              </w:numPr>
              <w:tabs>
                <w:tab w:val="left" w:pos="180"/>
                <w:tab w:val="clear" w:pos="227"/>
              </w:tabs>
              <w:jc w:val="center"/>
              <w:rPr>
                <w:color w:val="000000"/>
              </w:rPr>
            </w:pPr>
          </w:p>
        </w:tc>
        <w:tc>
          <w:tcPr>
            <w:tcW w:w="1073" w:type="pct"/>
            <w:vAlign w:val="center"/>
          </w:tcPr>
          <w:p w14:paraId="48F4ED85">
            <w:pPr>
              <w:spacing w:after="120"/>
            </w:pPr>
            <w:r>
              <w:t>工程名称</w:t>
            </w:r>
          </w:p>
        </w:tc>
        <w:tc>
          <w:tcPr>
            <w:tcW w:w="3537" w:type="pct"/>
            <w:vAlign w:val="center"/>
          </w:tcPr>
          <w:p w14:paraId="3A23B018">
            <w:pPr>
              <w:spacing w:line="400" w:lineRule="exact"/>
              <w:jc w:val="left"/>
              <w:rPr>
                <w:color w:val="3F1DEB"/>
              </w:rPr>
            </w:pPr>
            <w:r>
              <w:rPr>
                <w:rFonts w:hint="eastAsia"/>
                <w:lang w:val="en-US" w:eastAsia="zh-CN"/>
              </w:rPr>
              <w:t>储能系统集成及新型动力电池项目供配电工程</w:t>
            </w:r>
          </w:p>
        </w:tc>
      </w:tr>
      <w:tr w14:paraId="6488B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389" w:type="pct"/>
            <w:vAlign w:val="center"/>
          </w:tcPr>
          <w:p w14:paraId="68DA8449">
            <w:pPr>
              <w:numPr>
                <w:ilvl w:val="0"/>
                <w:numId w:val="2"/>
              </w:numPr>
              <w:tabs>
                <w:tab w:val="left" w:pos="180"/>
                <w:tab w:val="clear" w:pos="227"/>
              </w:tabs>
              <w:jc w:val="center"/>
              <w:rPr>
                <w:color w:val="000000"/>
              </w:rPr>
            </w:pPr>
          </w:p>
        </w:tc>
        <w:tc>
          <w:tcPr>
            <w:tcW w:w="1073" w:type="pct"/>
            <w:vAlign w:val="center"/>
          </w:tcPr>
          <w:p w14:paraId="71939E66">
            <w:pPr>
              <w:spacing w:after="120"/>
              <w:rPr>
                <w:kern w:val="20"/>
              </w:rPr>
            </w:pPr>
            <w:r>
              <w:rPr>
                <w:kern w:val="20"/>
              </w:rPr>
              <w:t>工程地点</w:t>
            </w:r>
          </w:p>
        </w:tc>
        <w:tc>
          <w:tcPr>
            <w:tcW w:w="3537" w:type="pct"/>
            <w:vAlign w:val="center"/>
          </w:tcPr>
          <w:p w14:paraId="14BFE1CF">
            <w:pPr>
              <w:spacing w:line="400" w:lineRule="exact"/>
              <w:jc w:val="left"/>
              <w:rPr>
                <w:rFonts w:hint="default"/>
                <w:color w:val="3F1DEB"/>
                <w:lang w:val="en-US"/>
              </w:rPr>
            </w:pPr>
            <w:r>
              <w:rPr>
                <w:rFonts w:hint="eastAsia"/>
                <w:spacing w:val="-2"/>
                <w:lang w:val="en-US" w:eastAsia="zh-CN"/>
              </w:rPr>
              <w:t>合肥市肥东县经开区东方大道与团结大道交口西北侧</w:t>
            </w:r>
          </w:p>
        </w:tc>
      </w:tr>
      <w:tr w14:paraId="3B74F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389" w:type="pct"/>
            <w:vAlign w:val="center"/>
          </w:tcPr>
          <w:p w14:paraId="64805396">
            <w:pPr>
              <w:numPr>
                <w:ilvl w:val="0"/>
                <w:numId w:val="2"/>
              </w:numPr>
              <w:tabs>
                <w:tab w:val="left" w:pos="180"/>
                <w:tab w:val="clear" w:pos="227"/>
              </w:tabs>
              <w:jc w:val="center"/>
              <w:rPr>
                <w:color w:val="000000"/>
              </w:rPr>
            </w:pPr>
          </w:p>
        </w:tc>
        <w:tc>
          <w:tcPr>
            <w:tcW w:w="1073" w:type="pct"/>
            <w:vAlign w:val="center"/>
          </w:tcPr>
          <w:p w14:paraId="1752CE51">
            <w:pPr>
              <w:rPr>
                <w:color w:val="000000"/>
              </w:rPr>
            </w:pPr>
            <w:r>
              <w:rPr>
                <w:color w:val="000000"/>
              </w:rPr>
              <w:t>招 标 人</w:t>
            </w:r>
          </w:p>
        </w:tc>
        <w:tc>
          <w:tcPr>
            <w:tcW w:w="3537" w:type="pct"/>
            <w:vAlign w:val="center"/>
          </w:tcPr>
          <w:p w14:paraId="7CDB2C04">
            <w:pPr>
              <w:pStyle w:val="25"/>
              <w:spacing w:before="75" w:line="219" w:lineRule="auto"/>
              <w:outlineLvl w:val="0"/>
              <w:rPr>
                <w:rFonts w:hint="default" w:ascii="Times New Roman" w:hAnsi="Times New Roman" w:eastAsia="宋体" w:cs="Times New Roman"/>
                <w:color w:val="000000"/>
                <w:kern w:val="2"/>
                <w:sz w:val="21"/>
                <w:szCs w:val="24"/>
                <w:lang w:val="en-US" w:eastAsia="zh-CN" w:bidi="ar-SA"/>
              </w:rPr>
            </w:pPr>
            <w:r>
              <w:rPr>
                <w:rFonts w:ascii="Times New Roman" w:hAnsi="Times New Roman" w:eastAsia="宋体" w:cs="Times New Roman"/>
                <w:color w:val="000000"/>
                <w:kern w:val="2"/>
                <w:sz w:val="21"/>
                <w:szCs w:val="24"/>
                <w:lang w:val="en-US" w:eastAsia="zh-CN" w:bidi="ar-SA"/>
              </w:rPr>
              <w:t>名称：</w:t>
            </w:r>
            <w:r>
              <w:rPr>
                <w:rFonts w:hint="eastAsia" w:ascii="Times New Roman" w:hAnsi="Times New Roman" w:cs="Times New Roman"/>
                <w:color w:val="000000"/>
                <w:kern w:val="2"/>
                <w:sz w:val="21"/>
                <w:szCs w:val="24"/>
                <w:lang w:val="en-US" w:eastAsia="zh-CN" w:bidi="ar-SA"/>
              </w:rPr>
              <w:t>安徽巡鹰能源科技有限公司</w:t>
            </w:r>
          </w:p>
          <w:p w14:paraId="6ECD3E33">
            <w:pPr>
              <w:pStyle w:val="25"/>
              <w:spacing w:before="27" w:line="219" w:lineRule="auto"/>
              <w:outlineLvl w:val="0"/>
              <w:rPr>
                <w:rFonts w:hint="default" w:ascii="Times New Roman" w:hAnsi="Times New Roman" w:eastAsia="宋体" w:cs="Times New Roman"/>
                <w:color w:val="000000"/>
                <w:kern w:val="2"/>
                <w:sz w:val="21"/>
                <w:szCs w:val="24"/>
                <w:lang w:val="en-US" w:eastAsia="zh-CN" w:bidi="ar-SA"/>
              </w:rPr>
            </w:pPr>
            <w:r>
              <w:rPr>
                <w:rFonts w:ascii="Times New Roman" w:hAnsi="Times New Roman" w:eastAsia="宋体" w:cs="Times New Roman"/>
                <w:color w:val="000000"/>
                <w:kern w:val="2"/>
                <w:sz w:val="21"/>
                <w:szCs w:val="24"/>
                <w:lang w:val="en-US" w:eastAsia="zh-CN" w:bidi="ar-SA"/>
              </w:rPr>
              <w:t>地址：</w:t>
            </w:r>
            <w:r>
              <w:rPr>
                <w:rFonts w:hint="eastAsia"/>
                <w:spacing w:val="-2"/>
                <w:sz w:val="22"/>
                <w:szCs w:val="22"/>
                <w:lang w:val="en-US" w:eastAsia="zh-CN"/>
              </w:rPr>
              <w:t>合肥市肥东县经开区东方大道与团结大道交口西北侧</w:t>
            </w:r>
          </w:p>
          <w:p w14:paraId="51EF0EBD">
            <w:pPr>
              <w:pStyle w:val="25"/>
              <w:spacing w:before="25" w:line="219" w:lineRule="auto"/>
              <w:outlineLvl w:val="0"/>
              <w:rPr>
                <w:rFonts w:hint="default" w:ascii="Times New Roman" w:hAnsi="Times New Roman" w:eastAsia="宋体" w:cs="Times New Roman"/>
                <w:color w:val="000000"/>
                <w:kern w:val="2"/>
                <w:sz w:val="21"/>
                <w:szCs w:val="24"/>
                <w:lang w:val="en-US" w:eastAsia="zh-CN" w:bidi="ar-SA"/>
              </w:rPr>
            </w:pPr>
            <w:r>
              <w:rPr>
                <w:rFonts w:ascii="Times New Roman" w:hAnsi="Times New Roman" w:eastAsia="宋体" w:cs="Times New Roman"/>
                <w:color w:val="000000"/>
                <w:kern w:val="2"/>
                <w:sz w:val="21"/>
                <w:szCs w:val="24"/>
                <w:lang w:val="en-US" w:eastAsia="zh-CN" w:bidi="ar-SA"/>
              </w:rPr>
              <w:t>联系人：</w:t>
            </w:r>
            <w:r>
              <w:rPr>
                <w:rFonts w:hint="eastAsia" w:ascii="Times New Roman" w:hAnsi="Times New Roman" w:cs="Times New Roman"/>
                <w:color w:val="000000"/>
                <w:kern w:val="2"/>
                <w:sz w:val="21"/>
                <w:szCs w:val="24"/>
                <w:lang w:val="en-US" w:eastAsia="zh-CN" w:bidi="ar-SA"/>
              </w:rPr>
              <w:t>马志伟、</w:t>
            </w:r>
            <w:r>
              <w:rPr>
                <w:rFonts w:hint="eastAsia" w:ascii="Times New Roman" w:hAnsi="Times New Roman" w:eastAsia="宋体" w:cs="Times New Roman"/>
                <w:color w:val="000000"/>
                <w:kern w:val="2"/>
                <w:sz w:val="21"/>
                <w:szCs w:val="24"/>
                <w:lang w:val="en-US" w:eastAsia="zh-CN" w:bidi="ar-SA"/>
              </w:rPr>
              <w:t>何浩</w:t>
            </w:r>
          </w:p>
          <w:p w14:paraId="3EB88667">
            <w:pPr>
              <w:pStyle w:val="25"/>
              <w:spacing w:before="27" w:line="212" w:lineRule="auto"/>
              <w:outlineLvl w:val="0"/>
              <w:rPr>
                <w:rFonts w:hint="default" w:ascii="Times New Roman" w:hAnsi="Times New Roman" w:eastAsia="宋体" w:cs="Times New Roman"/>
                <w:color w:val="000000"/>
                <w:kern w:val="2"/>
                <w:sz w:val="21"/>
                <w:szCs w:val="24"/>
                <w:lang w:val="en-US" w:eastAsia="zh-CN" w:bidi="ar-SA"/>
              </w:rPr>
            </w:pPr>
            <w:r>
              <w:rPr>
                <w:rFonts w:ascii="Times New Roman" w:hAnsi="Times New Roman" w:eastAsia="宋体" w:cs="Times New Roman"/>
                <w:color w:val="000000"/>
                <w:kern w:val="2"/>
                <w:sz w:val="21"/>
                <w:szCs w:val="24"/>
                <w:lang w:val="en-US" w:eastAsia="zh-CN" w:bidi="ar-SA"/>
              </w:rPr>
              <w:t>电话：</w:t>
            </w:r>
            <w:r>
              <w:rPr>
                <w:rFonts w:hint="eastAsia" w:ascii="Times New Roman" w:hAnsi="Times New Roman" w:cs="Times New Roman"/>
                <w:color w:val="000000"/>
                <w:kern w:val="2"/>
                <w:sz w:val="21"/>
                <w:szCs w:val="24"/>
                <w:lang w:val="en-US" w:eastAsia="zh-CN" w:bidi="ar-SA"/>
              </w:rPr>
              <w:t>17605693982、</w:t>
            </w:r>
            <w:r>
              <w:rPr>
                <w:rFonts w:hint="eastAsia" w:ascii="Times New Roman" w:hAnsi="Times New Roman" w:eastAsia="宋体" w:cs="Times New Roman"/>
                <w:color w:val="000000"/>
                <w:kern w:val="2"/>
                <w:sz w:val="21"/>
                <w:szCs w:val="24"/>
                <w:lang w:val="en-US" w:eastAsia="zh-CN" w:bidi="ar-SA"/>
              </w:rPr>
              <w:t>13665607274</w:t>
            </w:r>
          </w:p>
          <w:p w14:paraId="0A14EB82">
            <w:pPr>
              <w:rPr>
                <w:color w:val="000000"/>
                <w:u w:val="single"/>
              </w:rPr>
            </w:pPr>
            <w:r>
              <w:rPr>
                <w:rFonts w:ascii="Times New Roman" w:hAnsi="Times New Roman" w:eastAsia="宋体" w:cs="Times New Roman"/>
                <w:color w:val="000000"/>
                <w:kern w:val="2"/>
                <w:sz w:val="21"/>
                <w:szCs w:val="24"/>
                <w:lang w:val="en-US" w:eastAsia="zh-CN" w:bidi="ar-SA"/>
              </w:rPr>
              <w:t>电子邮件：</w:t>
            </w:r>
            <w:r>
              <w:rPr>
                <w:rFonts w:ascii="宋体" w:hAnsi="宋体" w:eastAsia="宋体" w:cs="宋体"/>
                <w:sz w:val="24"/>
                <w:szCs w:val="24"/>
              </w:rPr>
              <w:t>mazhiwei@eagoal.com.cn</w:t>
            </w:r>
            <w:r>
              <w:rPr>
                <w:rFonts w:hint="eastAsia" w:ascii="宋体" w:hAnsi="宋体" w:cs="宋体"/>
                <w:sz w:val="24"/>
                <w:szCs w:val="24"/>
                <w:lang w:eastAsia="zh-CN"/>
              </w:rPr>
              <w:t>、</w:t>
            </w:r>
            <w:r>
              <w:rPr>
                <w:color w:val="000000"/>
              </w:rPr>
              <w:t xml:space="preserve"> </w:t>
            </w:r>
            <w:r>
              <w:rPr>
                <w:rFonts w:hint="eastAsia" w:ascii="Times New Roman" w:hAnsi="Times New Roman" w:eastAsia="宋体" w:cs="Times New Roman"/>
                <w:color w:val="000000"/>
                <w:kern w:val="2"/>
                <w:sz w:val="21"/>
                <w:szCs w:val="24"/>
                <w:lang w:val="en-US" w:eastAsia="zh-CN" w:bidi="ar-SA"/>
              </w:rPr>
              <w:t>hehao@ahxunying.cn</w:t>
            </w:r>
            <w:r>
              <w:rPr>
                <w:color w:val="000000"/>
              </w:rPr>
              <w:t xml:space="preserve"> </w:t>
            </w:r>
          </w:p>
        </w:tc>
      </w:tr>
      <w:tr w14:paraId="41861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3" w:hRule="atLeast"/>
          <w:jc w:val="center"/>
        </w:trPr>
        <w:tc>
          <w:tcPr>
            <w:tcW w:w="389" w:type="pct"/>
            <w:vAlign w:val="center"/>
          </w:tcPr>
          <w:p w14:paraId="66910AF2">
            <w:pPr>
              <w:numPr>
                <w:ilvl w:val="0"/>
                <w:numId w:val="2"/>
              </w:numPr>
              <w:tabs>
                <w:tab w:val="left" w:pos="180"/>
                <w:tab w:val="clear" w:pos="227"/>
              </w:tabs>
              <w:jc w:val="center"/>
              <w:rPr>
                <w:color w:val="000000"/>
              </w:rPr>
            </w:pPr>
          </w:p>
        </w:tc>
        <w:tc>
          <w:tcPr>
            <w:tcW w:w="1073" w:type="pct"/>
            <w:vAlign w:val="center"/>
          </w:tcPr>
          <w:p w14:paraId="45CF6CA2">
            <w:pPr>
              <w:rPr>
                <w:color w:val="000000"/>
              </w:rPr>
            </w:pPr>
            <w:r>
              <w:rPr>
                <w:color w:val="000000"/>
              </w:rPr>
              <w:t>工程概况</w:t>
            </w:r>
          </w:p>
        </w:tc>
        <w:tc>
          <w:tcPr>
            <w:tcW w:w="3537" w:type="pct"/>
            <w:vAlign w:val="center"/>
          </w:tcPr>
          <w:p w14:paraId="0CD6B36C">
            <w:pPr>
              <w:rPr>
                <w:rFonts w:hint="eastAsia"/>
              </w:rPr>
            </w:pPr>
            <w:r>
              <w:rPr>
                <w:rFonts w:hint="eastAsia"/>
              </w:rPr>
              <w:t>项目用地面积约66667m，规划总建筑面积约62334.5m。项目主要建设内</w:t>
            </w:r>
          </w:p>
          <w:p w14:paraId="72D4B5DB">
            <w:pPr>
              <w:rPr>
                <w:color w:val="000000"/>
              </w:rPr>
            </w:pPr>
            <w:r>
              <w:rPr>
                <w:rFonts w:hint="eastAsia"/>
              </w:rPr>
              <w:t>容:</w:t>
            </w:r>
            <w:r>
              <w:rPr>
                <w:rFonts w:hint="eastAsia"/>
                <w:lang w:val="en-US" w:eastAsia="zh-CN"/>
              </w:rPr>
              <w:t>1#电芯厂房、2#仓库、3#仓库（未建）、4#生产车间（未建）</w:t>
            </w:r>
            <w:r>
              <w:rPr>
                <w:rFonts w:hint="eastAsia"/>
              </w:rPr>
              <w:t>、</w:t>
            </w:r>
            <w:r>
              <w:rPr>
                <w:rFonts w:hint="eastAsia"/>
                <w:lang w:val="en-US" w:eastAsia="zh-CN"/>
              </w:rPr>
              <w:t>办公楼、综合楼（未建）</w:t>
            </w:r>
            <w:r>
              <w:rPr>
                <w:rFonts w:hint="eastAsia"/>
              </w:rPr>
              <w:t>，配套厂区道路、给排水、供配电、消防、绿化等工程建设，设备购置、安装等</w:t>
            </w:r>
            <w:r>
              <w:rPr>
                <w:color w:val="000000"/>
              </w:rPr>
              <w:t xml:space="preserve">                                                </w:t>
            </w:r>
          </w:p>
        </w:tc>
      </w:tr>
      <w:tr w14:paraId="6B1A1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89" w:type="pct"/>
            <w:vAlign w:val="center"/>
          </w:tcPr>
          <w:p w14:paraId="6E46FE4B">
            <w:pPr>
              <w:numPr>
                <w:ilvl w:val="0"/>
                <w:numId w:val="2"/>
              </w:numPr>
              <w:tabs>
                <w:tab w:val="left" w:pos="180"/>
                <w:tab w:val="clear" w:pos="227"/>
              </w:tabs>
              <w:jc w:val="center"/>
              <w:rPr>
                <w:color w:val="000000"/>
              </w:rPr>
            </w:pPr>
          </w:p>
        </w:tc>
        <w:tc>
          <w:tcPr>
            <w:tcW w:w="1073" w:type="pct"/>
            <w:vAlign w:val="center"/>
          </w:tcPr>
          <w:p w14:paraId="21E83272">
            <w:pPr>
              <w:rPr>
                <w:color w:val="000000"/>
              </w:rPr>
            </w:pPr>
            <w:r>
              <w:rPr>
                <w:color w:val="000000"/>
              </w:rPr>
              <w:t>招标标段划分及承包范围</w:t>
            </w:r>
          </w:p>
        </w:tc>
        <w:tc>
          <w:tcPr>
            <w:tcW w:w="3537" w:type="pct"/>
            <w:vAlign w:val="center"/>
          </w:tcPr>
          <w:p w14:paraId="580A2D46">
            <w:pPr>
              <w:spacing w:line="380" w:lineRule="exact"/>
              <w:jc w:val="left"/>
              <w:rPr>
                <w:rFonts w:hint="eastAsia"/>
              </w:rPr>
            </w:pPr>
            <w:r>
              <w:rPr>
                <w:rFonts w:hint="eastAsia"/>
                <w:lang w:val="en-US" w:eastAsia="zh-CN"/>
              </w:rPr>
              <w:t>储能系统集成及新型动力电池项目供配电工程，</w:t>
            </w:r>
            <w:r>
              <w:rPr>
                <w:rFonts w:hint="eastAsia"/>
              </w:rPr>
              <w:t>负责从项目申请、方案确认、施工图设计、施工、验收通电到移交维保托收止的全过程费用包括与此项目相关而发生的各项目政府收费（供电局对维保托收费用标准不明确，可暂不考虑）。所有工作内容、项目申请、方案确认流程；施工图设计及图纸中所示全部电气工程内容，包括但不限于：</w:t>
            </w:r>
          </w:p>
          <w:p w14:paraId="747A6FBC">
            <w:pPr>
              <w:spacing w:line="380" w:lineRule="exact"/>
              <w:jc w:val="left"/>
              <w:rPr>
                <w:rFonts w:hint="eastAsia"/>
              </w:rPr>
            </w:pPr>
            <w:r>
              <w:rPr>
                <w:rFonts w:hint="eastAsia"/>
              </w:rPr>
              <w:t>（a）项目申请、方案确认流程</w:t>
            </w:r>
          </w:p>
          <w:p w14:paraId="48CA5B72">
            <w:pPr>
              <w:spacing w:line="380" w:lineRule="exact"/>
              <w:jc w:val="left"/>
              <w:rPr>
                <w:rFonts w:hint="eastAsia"/>
              </w:rPr>
            </w:pPr>
            <w:r>
              <w:rPr>
                <w:rFonts w:hint="eastAsia"/>
              </w:rPr>
              <w:t>（b）施工图设计</w:t>
            </w:r>
          </w:p>
          <w:p w14:paraId="389C901A">
            <w:pPr>
              <w:spacing w:line="380" w:lineRule="exact"/>
              <w:jc w:val="left"/>
              <w:rPr>
                <w:rFonts w:hint="eastAsia"/>
              </w:rPr>
            </w:pPr>
            <w:r>
              <w:rPr>
                <w:rFonts w:hint="eastAsia"/>
              </w:rPr>
              <w:t>（c）项目</w:t>
            </w:r>
            <w:r>
              <w:rPr>
                <w:rFonts w:hint="eastAsia"/>
                <w:lang w:val="en-US" w:eastAsia="zh-CN"/>
              </w:rPr>
              <w:t>配电</w:t>
            </w:r>
            <w:r>
              <w:rPr>
                <w:rFonts w:hint="eastAsia"/>
              </w:rPr>
              <w:t>工程；</w:t>
            </w:r>
          </w:p>
          <w:p w14:paraId="6652040D">
            <w:pPr>
              <w:spacing w:line="380" w:lineRule="exact"/>
              <w:jc w:val="left"/>
              <w:rPr>
                <w:rFonts w:hint="eastAsia"/>
              </w:rPr>
            </w:pPr>
            <w:r>
              <w:rPr>
                <w:rFonts w:hint="eastAsia"/>
              </w:rPr>
              <w:t>（d）</w:t>
            </w:r>
            <w:r>
              <w:rPr>
                <w:rFonts w:hint="eastAsia"/>
                <w:lang w:val="en-US" w:eastAsia="zh-CN"/>
              </w:rPr>
              <w:t>配电房</w:t>
            </w:r>
            <w:r>
              <w:rPr>
                <w:rFonts w:hint="eastAsia"/>
              </w:rPr>
              <w:t>外</w:t>
            </w:r>
            <w:r>
              <w:rPr>
                <w:rFonts w:hint="eastAsia"/>
                <w:lang w:val="en-US" w:eastAsia="zh-CN"/>
              </w:rPr>
              <w:t>的</w:t>
            </w:r>
            <w:r>
              <w:rPr>
                <w:rFonts w:hint="eastAsia"/>
              </w:rPr>
              <w:t>电源工程</w:t>
            </w:r>
          </w:p>
          <w:p w14:paraId="60886F0D">
            <w:pPr>
              <w:spacing w:line="380" w:lineRule="exact"/>
              <w:jc w:val="left"/>
              <w:rPr>
                <w:rFonts w:hint="eastAsia"/>
              </w:rPr>
            </w:pPr>
            <w:r>
              <w:rPr>
                <w:rFonts w:hint="eastAsia"/>
              </w:rPr>
              <w:t>（e）公变部分至各计量箱止包括计量箱(含电表)；专变部分至低压出线柜出线端止，含双电源切换箱；</w:t>
            </w:r>
          </w:p>
          <w:p w14:paraId="3409C4C5">
            <w:pPr>
              <w:spacing w:line="380" w:lineRule="exact"/>
              <w:jc w:val="left"/>
              <w:rPr>
                <w:rFonts w:hint="eastAsia"/>
                <w:lang w:val="en-US" w:eastAsia="zh-CN"/>
              </w:rPr>
            </w:pPr>
            <w:r>
              <w:rPr>
                <w:rFonts w:hint="eastAsia"/>
              </w:rPr>
              <w:t>(f）开闭所所带负荷区域详见设计院的电气设计施工图。</w:t>
            </w:r>
          </w:p>
          <w:p w14:paraId="0F306CC5">
            <w:pPr>
              <w:rPr>
                <w:color w:val="000000"/>
              </w:rPr>
            </w:pPr>
            <w:r>
              <w:rPr>
                <w:rFonts w:hint="eastAsia"/>
                <w:color w:val="000000"/>
              </w:rPr>
              <w:t>主要内容含高压开关柜、低压开关柜及浪涌保护器、变压器及变压器柜、通讯屏、直流屏、交流屏、一次模拟屏、站内母线槽，二次电缆</w:t>
            </w:r>
            <w:r>
              <w:rPr>
                <w:rFonts w:hint="eastAsia"/>
                <w:color w:val="000000"/>
                <w:lang w:eastAsia="zh-CN"/>
              </w:rPr>
              <w:t>，</w:t>
            </w:r>
            <w:r>
              <w:rPr>
                <w:rFonts w:hint="eastAsia"/>
                <w:color w:val="000000"/>
              </w:rPr>
              <w:t>配电房内土建、装饰及安装工程。</w:t>
            </w:r>
            <w:r>
              <w:rPr>
                <w:color w:val="000000"/>
              </w:rPr>
              <w:t xml:space="preserve">                                   </w:t>
            </w:r>
          </w:p>
        </w:tc>
      </w:tr>
      <w:tr w14:paraId="6D21D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389" w:type="pct"/>
            <w:vAlign w:val="center"/>
          </w:tcPr>
          <w:p w14:paraId="624634DD">
            <w:pPr>
              <w:numPr>
                <w:ilvl w:val="0"/>
                <w:numId w:val="2"/>
              </w:numPr>
              <w:tabs>
                <w:tab w:val="left" w:pos="180"/>
                <w:tab w:val="clear" w:pos="227"/>
              </w:tabs>
              <w:jc w:val="center"/>
              <w:rPr>
                <w:color w:val="000000"/>
              </w:rPr>
            </w:pPr>
          </w:p>
        </w:tc>
        <w:tc>
          <w:tcPr>
            <w:tcW w:w="1073" w:type="pct"/>
            <w:vAlign w:val="center"/>
          </w:tcPr>
          <w:p w14:paraId="37A8C606">
            <w:pPr>
              <w:rPr>
                <w:color w:val="000000"/>
              </w:rPr>
            </w:pPr>
            <w:r>
              <w:rPr>
                <w:color w:val="000000"/>
              </w:rPr>
              <w:t>工程承包方式</w:t>
            </w:r>
          </w:p>
        </w:tc>
        <w:tc>
          <w:tcPr>
            <w:tcW w:w="3537" w:type="pct"/>
            <w:vAlign w:val="center"/>
          </w:tcPr>
          <w:p w14:paraId="7270F4EC">
            <w:pPr>
              <w:rPr>
                <w:color w:val="000000"/>
                <w:spacing w:val="-4"/>
              </w:rPr>
            </w:pPr>
            <w:r>
              <w:rPr>
                <w:color w:val="000000"/>
                <w:spacing w:val="-4"/>
              </w:rPr>
              <w:t xml:space="preserve">固定总价包干 </w:t>
            </w:r>
            <w:r>
              <w:rPr>
                <w:rFonts w:hint="eastAsia"/>
                <w:color w:val="000000"/>
                <w:spacing w:val="-4"/>
                <w:lang w:eastAsia="zh-CN"/>
              </w:rPr>
              <w:t>（</w:t>
            </w:r>
            <w:r>
              <w:rPr>
                <w:rFonts w:hint="eastAsia"/>
                <w:color w:val="000000"/>
                <w:spacing w:val="-4"/>
                <w:lang w:val="en-US" w:eastAsia="zh-CN"/>
              </w:rPr>
              <w:t>包工包料、包工期、包安全文明施工、包验收</w:t>
            </w:r>
            <w:r>
              <w:rPr>
                <w:rFonts w:hint="eastAsia"/>
                <w:color w:val="000000"/>
                <w:spacing w:val="-4"/>
                <w:lang w:eastAsia="zh-CN"/>
              </w:rPr>
              <w:t>）</w:t>
            </w:r>
            <w:r>
              <w:rPr>
                <w:color w:val="000000"/>
                <w:spacing w:val="-4"/>
              </w:rPr>
              <w:t xml:space="preserve">                                 </w:t>
            </w:r>
          </w:p>
        </w:tc>
      </w:tr>
      <w:tr w14:paraId="35CC2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389" w:type="pct"/>
            <w:vAlign w:val="center"/>
          </w:tcPr>
          <w:p w14:paraId="74CFE832">
            <w:pPr>
              <w:numPr>
                <w:ilvl w:val="0"/>
                <w:numId w:val="2"/>
              </w:numPr>
              <w:tabs>
                <w:tab w:val="left" w:pos="180"/>
                <w:tab w:val="clear" w:pos="227"/>
              </w:tabs>
              <w:jc w:val="center"/>
              <w:rPr>
                <w:color w:val="000000"/>
              </w:rPr>
            </w:pPr>
          </w:p>
        </w:tc>
        <w:tc>
          <w:tcPr>
            <w:tcW w:w="1073" w:type="pct"/>
            <w:vAlign w:val="center"/>
          </w:tcPr>
          <w:p w14:paraId="59326153">
            <w:pPr>
              <w:rPr>
                <w:color w:val="000000"/>
              </w:rPr>
            </w:pPr>
            <w:r>
              <w:rPr>
                <w:color w:val="000000"/>
              </w:rPr>
              <w:t>质量标准</w:t>
            </w:r>
          </w:p>
        </w:tc>
        <w:tc>
          <w:tcPr>
            <w:tcW w:w="3537" w:type="pct"/>
            <w:vAlign w:val="center"/>
          </w:tcPr>
          <w:p w14:paraId="5372BCDA">
            <w:pPr>
              <w:rPr>
                <w:color w:val="000000"/>
                <w:spacing w:val="-8"/>
                <w:szCs w:val="21"/>
              </w:rPr>
            </w:pPr>
            <w:r>
              <w:rPr>
                <w:color w:val="000000"/>
                <w:spacing w:val="-8"/>
                <w:szCs w:val="21"/>
              </w:rPr>
              <w:t xml:space="preserve">合格                                     </w:t>
            </w:r>
          </w:p>
        </w:tc>
      </w:tr>
      <w:tr w14:paraId="2293B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389" w:type="pct"/>
            <w:vAlign w:val="center"/>
          </w:tcPr>
          <w:p w14:paraId="3CEF9D4C">
            <w:pPr>
              <w:numPr>
                <w:ilvl w:val="0"/>
                <w:numId w:val="2"/>
              </w:numPr>
              <w:tabs>
                <w:tab w:val="left" w:pos="180"/>
                <w:tab w:val="clear" w:pos="227"/>
              </w:tabs>
              <w:jc w:val="center"/>
              <w:rPr>
                <w:color w:val="000000"/>
              </w:rPr>
            </w:pPr>
          </w:p>
        </w:tc>
        <w:tc>
          <w:tcPr>
            <w:tcW w:w="1073" w:type="pct"/>
            <w:vAlign w:val="center"/>
          </w:tcPr>
          <w:p w14:paraId="6DB4229A">
            <w:pPr>
              <w:rPr>
                <w:color w:val="000000"/>
              </w:rPr>
            </w:pPr>
            <w:r>
              <w:rPr>
                <w:rFonts w:hint="eastAsia"/>
                <w:color w:val="000000"/>
              </w:rPr>
              <w:t>工期要求</w:t>
            </w:r>
          </w:p>
        </w:tc>
        <w:tc>
          <w:tcPr>
            <w:tcW w:w="3537" w:type="pct"/>
            <w:vAlign w:val="center"/>
          </w:tcPr>
          <w:p w14:paraId="69702023">
            <w:pPr>
              <w:shd w:val="clear"/>
              <w:spacing w:line="380" w:lineRule="exact"/>
              <w:jc w:val="left"/>
              <w:rPr>
                <w:highlight w:val="none"/>
              </w:rPr>
            </w:pPr>
            <w:r>
              <w:rPr>
                <w:highlight w:val="none"/>
              </w:rPr>
              <w:t>计划工期：</w:t>
            </w:r>
            <w:r>
              <w:rPr>
                <w:rFonts w:hint="eastAsia"/>
                <w:highlight w:val="none"/>
                <w:lang w:val="en-US" w:eastAsia="zh-CN"/>
              </w:rPr>
              <w:t>35</w:t>
            </w:r>
            <w:r>
              <w:rPr>
                <w:highlight w:val="none"/>
              </w:rPr>
              <w:t>日历天</w:t>
            </w:r>
          </w:p>
          <w:p w14:paraId="6D608DC0">
            <w:pPr>
              <w:shd w:val="clear"/>
              <w:spacing w:line="380" w:lineRule="exact"/>
              <w:jc w:val="left"/>
              <w:rPr>
                <w:highlight w:val="none"/>
              </w:rPr>
            </w:pPr>
            <w:r>
              <w:rPr>
                <w:highlight w:val="none"/>
              </w:rPr>
              <w:t>计划开工日期：202</w:t>
            </w:r>
            <w:r>
              <w:rPr>
                <w:rFonts w:hint="eastAsia"/>
                <w:highlight w:val="none"/>
                <w:lang w:val="en-US" w:eastAsia="zh-CN"/>
              </w:rPr>
              <w:t>4</w:t>
            </w:r>
            <w:r>
              <w:rPr>
                <w:highlight w:val="none"/>
              </w:rPr>
              <w:t>年</w:t>
            </w:r>
            <w:r>
              <w:rPr>
                <w:rFonts w:hint="eastAsia"/>
                <w:highlight w:val="none"/>
                <w:lang w:val="en-US" w:eastAsia="zh-CN"/>
              </w:rPr>
              <w:t>10</w:t>
            </w:r>
            <w:r>
              <w:rPr>
                <w:highlight w:val="none"/>
              </w:rPr>
              <w:t>月</w:t>
            </w:r>
            <w:r>
              <w:rPr>
                <w:rFonts w:hint="eastAsia"/>
                <w:highlight w:val="none"/>
                <w:lang w:val="en-US" w:eastAsia="zh-CN"/>
              </w:rPr>
              <w:t>15</w:t>
            </w:r>
            <w:r>
              <w:rPr>
                <w:highlight w:val="none"/>
              </w:rPr>
              <w:t>日</w:t>
            </w:r>
          </w:p>
          <w:p w14:paraId="5C52D3C5">
            <w:pPr>
              <w:shd w:val="clear"/>
              <w:spacing w:line="380" w:lineRule="exact"/>
              <w:jc w:val="left"/>
              <w:rPr>
                <w:highlight w:val="none"/>
              </w:rPr>
            </w:pPr>
            <w:r>
              <w:rPr>
                <w:highlight w:val="none"/>
              </w:rPr>
              <w:t>计划竣工日期：202</w:t>
            </w:r>
            <w:r>
              <w:rPr>
                <w:rFonts w:hint="eastAsia"/>
                <w:highlight w:val="none"/>
                <w:lang w:val="en-US" w:eastAsia="zh-CN"/>
              </w:rPr>
              <w:t>4</w:t>
            </w:r>
            <w:r>
              <w:rPr>
                <w:highlight w:val="none"/>
              </w:rPr>
              <w:t>年</w:t>
            </w:r>
            <w:r>
              <w:rPr>
                <w:rFonts w:hint="eastAsia"/>
                <w:highlight w:val="none"/>
                <w:lang w:val="en-US" w:eastAsia="zh-CN"/>
              </w:rPr>
              <w:t>11</w:t>
            </w:r>
            <w:r>
              <w:rPr>
                <w:highlight w:val="none"/>
              </w:rPr>
              <w:t>月</w:t>
            </w:r>
            <w:r>
              <w:rPr>
                <w:rFonts w:hint="eastAsia"/>
                <w:highlight w:val="none"/>
                <w:lang w:val="en-US" w:eastAsia="zh-CN"/>
              </w:rPr>
              <w:t>20</w:t>
            </w:r>
            <w:r>
              <w:rPr>
                <w:highlight w:val="none"/>
              </w:rPr>
              <w:t>日</w:t>
            </w:r>
          </w:p>
          <w:p w14:paraId="5AECB54B">
            <w:pPr>
              <w:spacing w:line="380" w:lineRule="exact"/>
              <w:jc w:val="left"/>
              <w:rPr>
                <w:color w:val="000000"/>
              </w:rPr>
            </w:pPr>
            <w:r>
              <w:t>误期违约金：如乙方不能在上述总工期及区段工期内完成，则每拖延一天，按5000元/天支付给甲方违约金，无上限。</w:t>
            </w:r>
          </w:p>
        </w:tc>
      </w:tr>
      <w:tr w14:paraId="34C1C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389" w:type="pct"/>
            <w:vAlign w:val="center"/>
          </w:tcPr>
          <w:p w14:paraId="341BF677">
            <w:pPr>
              <w:numPr>
                <w:ilvl w:val="0"/>
                <w:numId w:val="2"/>
              </w:numPr>
              <w:tabs>
                <w:tab w:val="left" w:pos="180"/>
                <w:tab w:val="clear" w:pos="227"/>
              </w:tabs>
              <w:jc w:val="center"/>
              <w:rPr>
                <w:color w:val="000000"/>
              </w:rPr>
            </w:pPr>
          </w:p>
        </w:tc>
        <w:tc>
          <w:tcPr>
            <w:tcW w:w="1073" w:type="pct"/>
            <w:vAlign w:val="center"/>
          </w:tcPr>
          <w:p w14:paraId="0113D34C">
            <w:pPr>
              <w:spacing w:after="120"/>
              <w:rPr>
                <w:kern w:val="20"/>
              </w:rPr>
            </w:pPr>
            <w:r>
              <w:rPr>
                <w:kern w:val="20"/>
              </w:rPr>
              <w:t>定标规则</w:t>
            </w:r>
          </w:p>
        </w:tc>
        <w:tc>
          <w:tcPr>
            <w:tcW w:w="3537" w:type="pct"/>
            <w:vAlign w:val="center"/>
          </w:tcPr>
          <w:p w14:paraId="7A02C07E">
            <w:pPr>
              <w:spacing w:line="380" w:lineRule="exact"/>
              <w:jc w:val="left"/>
            </w:pPr>
            <w:r>
              <w:t>一轮定标</w:t>
            </w:r>
          </w:p>
          <w:p w14:paraId="7F725860">
            <w:pPr>
              <w:spacing w:line="380" w:lineRule="exact"/>
              <w:jc w:val="left"/>
              <w:rPr>
                <w:color w:val="3F1DEB"/>
              </w:rPr>
            </w:pPr>
            <w:r>
              <w:t>□</w:t>
            </w:r>
            <w:r>
              <w:rPr>
                <w:b/>
              </w:rPr>
              <w:t>不含税合理低价中标</w:t>
            </w:r>
            <w:r>
              <w:t xml:space="preserve">      □不含税组合合理低价中标</w:t>
            </w:r>
          </w:p>
        </w:tc>
      </w:tr>
      <w:tr w14:paraId="4CBA5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389" w:type="pct"/>
            <w:vAlign w:val="center"/>
          </w:tcPr>
          <w:p w14:paraId="78066537">
            <w:pPr>
              <w:numPr>
                <w:ilvl w:val="0"/>
                <w:numId w:val="2"/>
              </w:numPr>
              <w:tabs>
                <w:tab w:val="left" w:pos="180"/>
                <w:tab w:val="clear" w:pos="227"/>
              </w:tabs>
              <w:jc w:val="center"/>
              <w:rPr>
                <w:color w:val="000000"/>
              </w:rPr>
            </w:pPr>
          </w:p>
        </w:tc>
        <w:tc>
          <w:tcPr>
            <w:tcW w:w="1073" w:type="pct"/>
            <w:vAlign w:val="center"/>
          </w:tcPr>
          <w:p w14:paraId="27C82772">
            <w:pPr>
              <w:spacing w:after="120"/>
              <w:rPr>
                <w:kern w:val="20"/>
              </w:rPr>
            </w:pPr>
            <w:r>
              <w:rPr>
                <w:kern w:val="20"/>
              </w:rPr>
              <w:t>投标人资质要求</w:t>
            </w:r>
          </w:p>
        </w:tc>
        <w:tc>
          <w:tcPr>
            <w:tcW w:w="3537" w:type="pct"/>
            <w:vAlign w:val="center"/>
          </w:tcPr>
          <w:p w14:paraId="133968BE">
            <w:pPr>
              <w:spacing w:line="380" w:lineRule="exact"/>
              <w:jc w:val="left"/>
            </w:pPr>
            <w:r>
              <w:rPr>
                <w:rFonts w:hint="eastAsia"/>
              </w:rPr>
              <w:t>供电安装工程专业承包三级或输变电工程专业承接三级及以上</w:t>
            </w:r>
            <w:r>
              <w:t xml:space="preserve">                           </w:t>
            </w:r>
          </w:p>
        </w:tc>
      </w:tr>
      <w:tr w14:paraId="4DBBA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389" w:type="pct"/>
            <w:vAlign w:val="center"/>
          </w:tcPr>
          <w:p w14:paraId="20A69BD1">
            <w:pPr>
              <w:numPr>
                <w:ilvl w:val="0"/>
                <w:numId w:val="2"/>
              </w:numPr>
              <w:tabs>
                <w:tab w:val="left" w:pos="180"/>
                <w:tab w:val="clear" w:pos="227"/>
              </w:tabs>
              <w:jc w:val="center"/>
              <w:rPr>
                <w:color w:val="000000"/>
              </w:rPr>
            </w:pPr>
          </w:p>
        </w:tc>
        <w:tc>
          <w:tcPr>
            <w:tcW w:w="1073" w:type="pct"/>
            <w:vAlign w:val="center"/>
          </w:tcPr>
          <w:p w14:paraId="1ABFE788">
            <w:pPr>
              <w:rPr>
                <w:color w:val="000000"/>
              </w:rPr>
            </w:pPr>
            <w:r>
              <w:rPr>
                <w:color w:val="000000"/>
              </w:rPr>
              <w:t>投标保证金</w:t>
            </w:r>
          </w:p>
        </w:tc>
        <w:tc>
          <w:tcPr>
            <w:tcW w:w="3537" w:type="pct"/>
            <w:vAlign w:val="center"/>
          </w:tcPr>
          <w:p w14:paraId="148293EC">
            <w:pPr>
              <w:spacing w:line="380" w:lineRule="exact"/>
              <w:jc w:val="left"/>
              <w:rPr>
                <w:rFonts w:hint="default" w:eastAsia="宋体"/>
                <w:lang w:val="en-US" w:eastAsia="zh-CN"/>
              </w:rPr>
            </w:pPr>
            <w:r>
              <w:t>人民币</w:t>
            </w:r>
            <w:r>
              <w:rPr>
                <w:rFonts w:hint="eastAsia"/>
                <w:u w:val="single"/>
                <w:lang w:val="en-US" w:eastAsia="zh-CN"/>
              </w:rPr>
              <w:t>20</w:t>
            </w:r>
            <w:r>
              <w:rPr>
                <w:u w:val="single"/>
              </w:rPr>
              <w:t>0,000.00</w:t>
            </w:r>
            <w:r>
              <w:t>元（大写：</w:t>
            </w:r>
            <w:r>
              <w:rPr>
                <w:rFonts w:hint="eastAsia"/>
                <w:u w:val="single"/>
                <w:lang w:val="en-US" w:eastAsia="zh-CN"/>
              </w:rPr>
              <w:t>贰拾</w:t>
            </w:r>
            <w:r>
              <w:rPr>
                <w:u w:val="single"/>
              </w:rPr>
              <w:t>万</w:t>
            </w:r>
            <w:r>
              <w:t>元整），转账</w:t>
            </w:r>
            <w:r>
              <w:rPr>
                <w:rFonts w:hint="eastAsia"/>
                <w:lang w:val="en-US" w:eastAsia="zh-CN"/>
              </w:rPr>
              <w:t>或</w:t>
            </w:r>
            <w:r>
              <w:t>电汇</w:t>
            </w:r>
          </w:p>
          <w:p w14:paraId="121F664A">
            <w:pPr>
              <w:spacing w:line="380" w:lineRule="exact"/>
              <w:jc w:val="left"/>
              <w:rPr>
                <w:sz w:val="22"/>
              </w:rPr>
            </w:pPr>
            <w:r>
              <w:rPr>
                <w:sz w:val="22"/>
              </w:rPr>
              <w:t>招标人账户信息：</w:t>
            </w:r>
          </w:p>
          <w:p w14:paraId="1D4F94D3">
            <w:pPr>
              <w:spacing w:line="380" w:lineRule="exact"/>
              <w:jc w:val="left"/>
              <w:rPr>
                <w:sz w:val="22"/>
              </w:rPr>
            </w:pPr>
            <w:r>
              <w:rPr>
                <w:sz w:val="22"/>
              </w:rPr>
              <w:t>公司名称：</w:t>
            </w:r>
            <w:r>
              <w:rPr>
                <w:rFonts w:hint="eastAsia" w:ascii="等线" w:hAnsi="宋体" w:eastAsia="等线"/>
                <w:b/>
                <w:bCs/>
                <w:sz w:val="24"/>
                <w:szCs w:val="24"/>
                <w:u w:val="single"/>
                <w:lang w:val="en-US" w:eastAsia="zh-CN"/>
              </w:rPr>
              <w:t>安徽巡鹰能源科技</w:t>
            </w:r>
            <w:r>
              <w:rPr>
                <w:rFonts w:hint="eastAsia" w:ascii="等线" w:hAnsi="宋体" w:eastAsia="等线"/>
                <w:b/>
                <w:bCs/>
                <w:sz w:val="24"/>
                <w:szCs w:val="24"/>
                <w:u w:val="single"/>
              </w:rPr>
              <w:t>有限公司</w:t>
            </w:r>
            <w:r>
              <w:rPr>
                <w:sz w:val="22"/>
              </w:rPr>
              <w:t xml:space="preserve">             </w:t>
            </w:r>
          </w:p>
          <w:p w14:paraId="0C5D68D7">
            <w:pPr>
              <w:spacing w:line="380" w:lineRule="exact"/>
              <w:jc w:val="left"/>
              <w:rPr>
                <w:sz w:val="22"/>
              </w:rPr>
            </w:pPr>
            <w:r>
              <w:rPr>
                <w:sz w:val="22"/>
              </w:rPr>
              <w:t>开户银行：</w:t>
            </w:r>
            <w:r>
              <w:rPr>
                <w:rFonts w:hint="eastAsia" w:ascii="等线" w:hAnsi="宋体" w:eastAsia="等线"/>
                <w:b/>
                <w:bCs/>
                <w:sz w:val="24"/>
                <w:szCs w:val="24"/>
                <w:u w:val="single"/>
                <w:lang w:val="en-US" w:eastAsia="zh-CN"/>
              </w:rPr>
              <w:t>农业银行合肥城东支行</w:t>
            </w:r>
            <w:r>
              <w:rPr>
                <w:sz w:val="22"/>
              </w:rPr>
              <w:t xml:space="preserve">         </w:t>
            </w:r>
          </w:p>
          <w:p w14:paraId="498E3716">
            <w:pPr>
              <w:spacing w:line="380" w:lineRule="exact"/>
              <w:jc w:val="left"/>
              <w:rPr>
                <w:sz w:val="22"/>
              </w:rPr>
            </w:pPr>
            <w:r>
              <w:rPr>
                <w:sz w:val="22"/>
              </w:rPr>
              <w:t>银行帐号：</w:t>
            </w:r>
            <w:r>
              <w:rPr>
                <w:rFonts w:hint="eastAsia" w:ascii="等线" w:hAnsi="宋体" w:eastAsia="等线"/>
                <w:b/>
                <w:bCs/>
                <w:sz w:val="24"/>
                <w:szCs w:val="24"/>
                <w:u w:val="single"/>
                <w:lang w:val="en-US" w:eastAsia="zh-CN"/>
              </w:rPr>
              <w:t>12-082701040011185</w:t>
            </w:r>
            <w:r>
              <w:rPr>
                <w:rFonts w:ascii="宋体" w:hAnsi="宋体"/>
                <w:sz w:val="22"/>
              </w:rPr>
              <w:t xml:space="preserve"> </w:t>
            </w:r>
            <w:r>
              <w:rPr>
                <w:sz w:val="22"/>
              </w:rPr>
              <w:t xml:space="preserve">                </w:t>
            </w:r>
          </w:p>
          <w:p w14:paraId="749E0E07">
            <w:pPr>
              <w:spacing w:line="380" w:lineRule="exact"/>
              <w:jc w:val="left"/>
              <w:rPr>
                <w:sz w:val="22"/>
              </w:rPr>
            </w:pPr>
            <w:r>
              <w:rPr>
                <w:sz w:val="22"/>
              </w:rPr>
              <w:t>说明：</w:t>
            </w:r>
          </w:p>
          <w:p w14:paraId="44C43C94">
            <w:pPr>
              <w:spacing w:line="380" w:lineRule="exact"/>
              <w:jc w:val="left"/>
              <w:rPr>
                <w:sz w:val="22"/>
              </w:rPr>
            </w:pPr>
            <w:r>
              <w:rPr>
                <w:sz w:val="22"/>
              </w:rPr>
              <w:t>（1）转账时在备注栏注明“</w:t>
            </w:r>
            <w:r>
              <w:rPr>
                <w:rFonts w:hint="eastAsia"/>
                <w:lang w:val="en-US" w:eastAsia="zh-CN"/>
              </w:rPr>
              <w:t>储能系统集成及新型动力电池项目供配电工程</w:t>
            </w:r>
            <w:r>
              <w:rPr>
                <w:sz w:val="22"/>
              </w:rPr>
              <w:t>投标保证金”，不得以个人名义转入保证金，必须公对公方式。</w:t>
            </w:r>
          </w:p>
          <w:p w14:paraId="3AD69846">
            <w:pPr>
              <w:spacing w:line="380" w:lineRule="exact"/>
              <w:jc w:val="left"/>
            </w:pPr>
            <w:r>
              <w:t>（2）招标结束后无息退还，退还方式详见《投标注意事项》。</w:t>
            </w:r>
          </w:p>
        </w:tc>
      </w:tr>
      <w:tr w14:paraId="46C37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389" w:type="pct"/>
            <w:vAlign w:val="center"/>
          </w:tcPr>
          <w:p w14:paraId="32283980">
            <w:pPr>
              <w:numPr>
                <w:ilvl w:val="0"/>
                <w:numId w:val="2"/>
              </w:numPr>
              <w:tabs>
                <w:tab w:val="left" w:pos="180"/>
                <w:tab w:val="clear" w:pos="227"/>
              </w:tabs>
              <w:jc w:val="center"/>
              <w:rPr>
                <w:color w:val="000000"/>
              </w:rPr>
            </w:pPr>
          </w:p>
        </w:tc>
        <w:tc>
          <w:tcPr>
            <w:tcW w:w="1073" w:type="pct"/>
            <w:vAlign w:val="center"/>
          </w:tcPr>
          <w:p w14:paraId="148E10B3">
            <w:pPr>
              <w:spacing w:after="120"/>
              <w:rPr>
                <w:kern w:val="20"/>
              </w:rPr>
            </w:pPr>
            <w:r>
              <w:rPr>
                <w:kern w:val="20"/>
              </w:rPr>
              <w:t>履约保证金</w:t>
            </w:r>
          </w:p>
        </w:tc>
        <w:tc>
          <w:tcPr>
            <w:tcW w:w="3537" w:type="pct"/>
            <w:vAlign w:val="center"/>
          </w:tcPr>
          <w:p w14:paraId="7BDE5746">
            <w:pPr>
              <w:spacing w:line="380" w:lineRule="exact"/>
              <w:jc w:val="left"/>
              <w:rPr>
                <w:szCs w:val="21"/>
              </w:rPr>
            </w:pPr>
            <w:r>
              <w:rPr>
                <w:szCs w:val="21"/>
              </w:rPr>
              <w:t>（1）金额为：合同总价的</w:t>
            </w:r>
            <w:r>
              <w:rPr>
                <w:szCs w:val="21"/>
                <w:u w:val="single"/>
              </w:rPr>
              <w:t xml:space="preserve"> 5%  </w:t>
            </w:r>
          </w:p>
          <w:p w14:paraId="6E6D30FC">
            <w:pPr>
              <w:spacing w:line="380" w:lineRule="exact"/>
              <w:jc w:val="left"/>
              <w:rPr>
                <w:szCs w:val="21"/>
              </w:rPr>
            </w:pPr>
            <w:r>
              <w:rPr>
                <w:szCs w:val="21"/>
              </w:rPr>
              <w:t>（2）保证金：</w:t>
            </w:r>
            <w:r>
              <w:rPr>
                <w:szCs w:val="21"/>
                <w:u w:val="single"/>
              </w:rPr>
              <w:t>合同签署后</w:t>
            </w:r>
            <w:r>
              <w:rPr>
                <w:rFonts w:hint="eastAsia"/>
                <w:szCs w:val="21"/>
                <w:u w:val="single"/>
                <w:lang w:val="en-US" w:eastAsia="zh-CN"/>
              </w:rPr>
              <w:t>1</w:t>
            </w:r>
            <w:r>
              <w:rPr>
                <w:szCs w:val="21"/>
                <w:u w:val="single"/>
              </w:rPr>
              <w:t>5天</w:t>
            </w:r>
            <w:r>
              <w:rPr>
                <w:szCs w:val="21"/>
              </w:rPr>
              <w:t>内向</w:t>
            </w:r>
            <w:r>
              <w:rPr>
                <w:szCs w:val="21"/>
                <w:u w:val="single"/>
              </w:rPr>
              <w:t>招标人</w:t>
            </w:r>
            <w:r>
              <w:rPr>
                <w:szCs w:val="21"/>
              </w:rPr>
              <w:t>支付；</w:t>
            </w:r>
          </w:p>
          <w:p w14:paraId="6D966426">
            <w:pPr>
              <w:spacing w:line="380" w:lineRule="exact"/>
              <w:jc w:val="left"/>
              <w:rPr>
                <w:color w:val="3F1DEB"/>
                <w:szCs w:val="21"/>
              </w:rPr>
            </w:pPr>
            <w:r>
              <w:rPr>
                <w:szCs w:val="21"/>
              </w:rPr>
              <w:t>（</w:t>
            </w:r>
            <w:r>
              <w:rPr>
                <w:rFonts w:hint="eastAsia"/>
                <w:szCs w:val="21"/>
                <w:lang w:val="en-US" w:eastAsia="zh-CN"/>
              </w:rPr>
              <w:t>3</w:t>
            </w:r>
            <w:r>
              <w:rPr>
                <w:szCs w:val="21"/>
              </w:rPr>
              <w:t>）若中标人未在规定时间内提交履约保证金，招标人将有权取消其中标资格，并且投标保证金不予退还。</w:t>
            </w:r>
          </w:p>
        </w:tc>
      </w:tr>
      <w:tr w14:paraId="52ECF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389" w:type="pct"/>
            <w:vAlign w:val="center"/>
          </w:tcPr>
          <w:p w14:paraId="72EBBE70">
            <w:pPr>
              <w:numPr>
                <w:ilvl w:val="0"/>
                <w:numId w:val="2"/>
              </w:numPr>
              <w:tabs>
                <w:tab w:val="left" w:pos="180"/>
                <w:tab w:val="clear" w:pos="227"/>
              </w:tabs>
              <w:jc w:val="center"/>
              <w:rPr>
                <w:color w:val="000000"/>
              </w:rPr>
            </w:pPr>
          </w:p>
        </w:tc>
        <w:tc>
          <w:tcPr>
            <w:tcW w:w="1073" w:type="pct"/>
            <w:vAlign w:val="center"/>
          </w:tcPr>
          <w:p w14:paraId="3FA2FEEA">
            <w:pPr>
              <w:spacing w:after="120"/>
            </w:pPr>
            <w:r>
              <w:t>招标文件工本费</w:t>
            </w:r>
          </w:p>
        </w:tc>
        <w:tc>
          <w:tcPr>
            <w:tcW w:w="3537" w:type="pct"/>
            <w:vAlign w:val="center"/>
          </w:tcPr>
          <w:p w14:paraId="1C722419">
            <w:pPr>
              <w:spacing w:line="380" w:lineRule="exact"/>
              <w:jc w:val="left"/>
            </w:pPr>
            <w:r>
              <w:t>无</w:t>
            </w:r>
          </w:p>
        </w:tc>
      </w:tr>
      <w:tr w14:paraId="18540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389" w:type="pct"/>
            <w:vAlign w:val="center"/>
          </w:tcPr>
          <w:p w14:paraId="5E481379">
            <w:pPr>
              <w:numPr>
                <w:ilvl w:val="0"/>
                <w:numId w:val="2"/>
              </w:numPr>
              <w:tabs>
                <w:tab w:val="left" w:pos="180"/>
                <w:tab w:val="clear" w:pos="227"/>
              </w:tabs>
              <w:jc w:val="center"/>
              <w:rPr>
                <w:color w:val="000000"/>
              </w:rPr>
            </w:pPr>
          </w:p>
        </w:tc>
        <w:tc>
          <w:tcPr>
            <w:tcW w:w="1073" w:type="pct"/>
            <w:vAlign w:val="center"/>
          </w:tcPr>
          <w:p w14:paraId="3ED65FDE">
            <w:pPr>
              <w:spacing w:after="120"/>
            </w:pPr>
            <w:r>
              <w:rPr>
                <w:kern w:val="20"/>
              </w:rPr>
              <w:t>招标文件发布</w:t>
            </w:r>
          </w:p>
        </w:tc>
        <w:tc>
          <w:tcPr>
            <w:tcW w:w="3537" w:type="pct"/>
            <w:vAlign w:val="center"/>
          </w:tcPr>
          <w:p w14:paraId="60A886E3">
            <w:pPr>
              <w:spacing w:line="380" w:lineRule="exact"/>
              <w:jc w:val="left"/>
              <w:rPr>
                <w:rFonts w:hint="default"/>
                <w:lang w:val="en-US"/>
              </w:rPr>
            </w:pPr>
            <w:r>
              <w:t>发布时间：详见</w:t>
            </w:r>
            <w:r>
              <w:rPr>
                <w:rFonts w:hint="eastAsia"/>
                <w:lang w:val="en-US" w:eastAsia="zh-CN"/>
              </w:rPr>
              <w:t>巡鹰集团官网及各主流网站</w:t>
            </w:r>
          </w:p>
          <w:p w14:paraId="7BE27C15">
            <w:pPr>
              <w:spacing w:line="380" w:lineRule="exact"/>
              <w:jc w:val="left"/>
              <w:rPr>
                <w:color w:val="3F1DEB"/>
              </w:rPr>
            </w:pPr>
            <w:r>
              <w:t>发布方式：电子版，详见</w:t>
            </w:r>
            <w:r>
              <w:rPr>
                <w:rFonts w:hint="eastAsia"/>
                <w:lang w:val="en-US" w:eastAsia="zh-CN"/>
              </w:rPr>
              <w:t>巡鹰集团官网</w:t>
            </w:r>
            <w:r>
              <w:t xml:space="preserve"> 地址：</w:t>
            </w:r>
            <w:r>
              <w:rPr>
                <w:rFonts w:hint="eastAsia"/>
              </w:rPr>
              <w:t>www.ahxunying.com</w:t>
            </w:r>
            <w:r>
              <w:t>；投标人自行下载</w:t>
            </w:r>
          </w:p>
        </w:tc>
      </w:tr>
      <w:tr w14:paraId="515AC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389" w:type="pct"/>
            <w:vAlign w:val="center"/>
          </w:tcPr>
          <w:p w14:paraId="54BA0DC7">
            <w:pPr>
              <w:numPr>
                <w:ilvl w:val="0"/>
                <w:numId w:val="2"/>
              </w:numPr>
              <w:tabs>
                <w:tab w:val="left" w:pos="180"/>
                <w:tab w:val="clear" w:pos="227"/>
              </w:tabs>
              <w:jc w:val="center"/>
              <w:rPr>
                <w:color w:val="000000"/>
              </w:rPr>
            </w:pPr>
          </w:p>
        </w:tc>
        <w:tc>
          <w:tcPr>
            <w:tcW w:w="1073" w:type="pct"/>
            <w:vAlign w:val="center"/>
          </w:tcPr>
          <w:p w14:paraId="68B39543">
            <w:pPr>
              <w:rPr>
                <w:color w:val="000000"/>
              </w:rPr>
            </w:pPr>
            <w:r>
              <w:rPr>
                <w:color w:val="000000"/>
              </w:rPr>
              <w:t>踏勘工程现场</w:t>
            </w:r>
          </w:p>
        </w:tc>
        <w:tc>
          <w:tcPr>
            <w:tcW w:w="3537" w:type="pct"/>
            <w:vAlign w:val="center"/>
          </w:tcPr>
          <w:p w14:paraId="2962682D">
            <w:pPr>
              <w:spacing w:line="380" w:lineRule="exact"/>
              <w:jc w:val="left"/>
              <w:rPr>
                <w:color w:val="000000"/>
                <w:u w:val="single"/>
              </w:rPr>
            </w:pPr>
            <w:r>
              <w:rPr>
                <w:rFonts w:hint="eastAsia"/>
                <w:lang w:val="en-US" w:eastAsia="zh-CN"/>
              </w:rPr>
              <w:t>2024年10月8日上午10:00-11:00集中踏勘，</w:t>
            </w:r>
            <w:r>
              <w:rPr>
                <w:rFonts w:hint="eastAsia"/>
                <w:color w:val="000000"/>
                <w:lang w:val="en-US" w:eastAsia="zh-CN"/>
              </w:rPr>
              <w:t>超过期限</w:t>
            </w:r>
            <w:r>
              <w:t>投标人自行踏勘</w:t>
            </w:r>
            <w:r>
              <w:rPr>
                <w:color w:val="000000"/>
              </w:rPr>
              <w:t xml:space="preserve">                   </w:t>
            </w:r>
          </w:p>
        </w:tc>
      </w:tr>
      <w:tr w14:paraId="20963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389" w:type="pct"/>
            <w:vAlign w:val="center"/>
          </w:tcPr>
          <w:p w14:paraId="6FF1F63C">
            <w:pPr>
              <w:numPr>
                <w:ilvl w:val="0"/>
                <w:numId w:val="2"/>
              </w:numPr>
              <w:tabs>
                <w:tab w:val="left" w:pos="180"/>
                <w:tab w:val="clear" w:pos="227"/>
              </w:tabs>
              <w:jc w:val="center"/>
              <w:rPr>
                <w:color w:val="000000"/>
              </w:rPr>
            </w:pPr>
          </w:p>
        </w:tc>
        <w:tc>
          <w:tcPr>
            <w:tcW w:w="1073" w:type="pct"/>
            <w:vAlign w:val="center"/>
          </w:tcPr>
          <w:p w14:paraId="7CB7D7B1">
            <w:pPr>
              <w:pStyle w:val="25"/>
              <w:spacing w:before="193" w:line="218" w:lineRule="auto"/>
              <w:outlineLvl w:val="0"/>
              <w:rPr>
                <w:kern w:val="20"/>
              </w:rPr>
            </w:pPr>
            <w:r>
              <w:rPr>
                <w:rFonts w:ascii="Times New Roman" w:hAnsi="Times New Roman" w:eastAsia="宋体" w:cs="Times New Roman"/>
                <w:color w:val="000000"/>
                <w:kern w:val="2"/>
                <w:sz w:val="21"/>
                <w:szCs w:val="24"/>
                <w:lang w:val="en-US" w:eastAsia="zh-CN" w:bidi="ar-SA"/>
              </w:rPr>
              <w:t>投标报价编制依据</w:t>
            </w:r>
          </w:p>
        </w:tc>
        <w:tc>
          <w:tcPr>
            <w:tcW w:w="3537" w:type="pct"/>
            <w:vAlign w:val="center"/>
          </w:tcPr>
          <w:p w14:paraId="6508A4CF">
            <w:pPr>
              <w:spacing w:line="380" w:lineRule="exact"/>
              <w:jc w:val="left"/>
              <w:rPr>
                <w:color w:val="3F1DEB"/>
              </w:rPr>
            </w:pPr>
            <w:r>
              <w:rPr>
                <w:rFonts w:hint="eastAsia"/>
                <w:lang w:val="en-US" w:eastAsia="zh-CN"/>
              </w:rPr>
              <w:t>本项目预结算均执行《建设工程工程量清单计价规范》（GB50500-2013）及配套的安徽省2018版计价定额，增值税新版本税率。</w:t>
            </w:r>
          </w:p>
        </w:tc>
      </w:tr>
      <w:tr w14:paraId="3B176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389" w:type="pct"/>
            <w:vAlign w:val="center"/>
          </w:tcPr>
          <w:p w14:paraId="585FD680">
            <w:pPr>
              <w:numPr>
                <w:ilvl w:val="0"/>
                <w:numId w:val="2"/>
              </w:numPr>
              <w:tabs>
                <w:tab w:val="left" w:pos="180"/>
                <w:tab w:val="clear" w:pos="227"/>
              </w:tabs>
              <w:jc w:val="center"/>
              <w:rPr>
                <w:color w:val="000000"/>
              </w:rPr>
            </w:pPr>
          </w:p>
        </w:tc>
        <w:tc>
          <w:tcPr>
            <w:tcW w:w="1073" w:type="pct"/>
            <w:vAlign w:val="center"/>
          </w:tcPr>
          <w:p w14:paraId="49CD96F9">
            <w:pPr>
              <w:pStyle w:val="25"/>
              <w:spacing w:before="193" w:line="218" w:lineRule="auto"/>
              <w:outlineLvl w:val="0"/>
              <w:rPr>
                <w:color w:val="000000"/>
              </w:rPr>
            </w:pPr>
            <w:r>
              <w:rPr>
                <w:rFonts w:ascii="Times New Roman" w:hAnsi="Times New Roman" w:eastAsia="宋体" w:cs="Times New Roman"/>
                <w:color w:val="000000"/>
                <w:kern w:val="2"/>
                <w:sz w:val="21"/>
                <w:szCs w:val="24"/>
                <w:lang w:val="en-US" w:eastAsia="zh-CN" w:bidi="ar-SA"/>
              </w:rPr>
              <w:t>投标人资质条件、能力和信誉</w:t>
            </w:r>
          </w:p>
        </w:tc>
        <w:tc>
          <w:tcPr>
            <w:tcW w:w="3537" w:type="pct"/>
            <w:vAlign w:val="center"/>
          </w:tcPr>
          <w:p w14:paraId="0ED8682E">
            <w:pPr>
              <w:spacing w:line="380" w:lineRule="exact"/>
              <w:jc w:val="left"/>
            </w:pPr>
            <w:r>
              <w:t>投标人应满足以下要求：</w:t>
            </w:r>
          </w:p>
          <w:p w14:paraId="1F7465B0">
            <w:pPr>
              <w:spacing w:line="380" w:lineRule="exact"/>
              <w:jc w:val="left"/>
              <w:rPr>
                <w:rFonts w:hint="eastAsia"/>
              </w:rPr>
            </w:pPr>
            <w:r>
              <w:rPr>
                <w:rFonts w:hint="eastAsia"/>
              </w:rPr>
              <w:t>（1）资质条件：电力工程施工总承包三级及以上或输变电工程专业承包资质三级及以上，且同时具有中国电监会颁发的承装、承试类《承装(修、试)电力设施许可证》三级及以上资质；一个投标人（单位）只能委托一次参加投标；同一委托代理人只能以一个身份参加投标。</w:t>
            </w:r>
          </w:p>
          <w:p w14:paraId="76014620">
            <w:pPr>
              <w:spacing w:line="380" w:lineRule="exact"/>
              <w:jc w:val="left"/>
              <w:rPr>
                <w:rFonts w:hint="eastAsia"/>
              </w:rPr>
            </w:pPr>
            <w:r>
              <w:rPr>
                <w:rFonts w:hint="eastAsia"/>
              </w:rPr>
              <w:t>（2）财务要求：财务状况良好，由会计事务所出具的企业20</w:t>
            </w:r>
            <w:r>
              <w:rPr>
                <w:rFonts w:hint="eastAsia"/>
                <w:lang w:val="en-US" w:eastAsia="zh-CN"/>
              </w:rPr>
              <w:t>21至2023</w:t>
            </w:r>
            <w:r>
              <w:rPr>
                <w:rFonts w:hint="eastAsia"/>
              </w:rPr>
              <w:t>年度财务审计报告</w:t>
            </w:r>
            <w:r>
              <w:rPr>
                <w:rFonts w:hint="eastAsia"/>
                <w:lang w:val="en-US" w:eastAsia="zh-CN"/>
              </w:rPr>
              <w:t>及</w:t>
            </w:r>
            <w:r>
              <w:rPr>
                <w:rFonts w:hint="eastAsia"/>
              </w:rPr>
              <w:t>有效的开户银行资信证明；</w:t>
            </w:r>
          </w:p>
          <w:p w14:paraId="09F92F4F">
            <w:pPr>
              <w:spacing w:line="380" w:lineRule="exact"/>
              <w:jc w:val="left"/>
              <w:rPr>
                <w:rFonts w:hint="eastAsia"/>
              </w:rPr>
            </w:pPr>
            <w:r>
              <w:rPr>
                <w:rFonts w:hint="eastAsia"/>
              </w:rPr>
              <w:t>（3）企业信誉要求：企业未处于被责令停业、投标资格被取消或者财产被接管、冻结和破产状态；无因骗取中标或者严重违约以及发生重大工程质量、安全生产事故等问题，且被有关部门暂停投标资格并在暂停期内或者至投标截止日仍在处理期内的。</w:t>
            </w:r>
          </w:p>
          <w:p w14:paraId="2A4195CE">
            <w:pPr>
              <w:spacing w:line="380" w:lineRule="exact"/>
              <w:jc w:val="left"/>
              <w:rPr>
                <w:rFonts w:hint="eastAsia"/>
              </w:rPr>
            </w:pPr>
            <w:r>
              <w:rPr>
                <w:rFonts w:hint="eastAsia"/>
              </w:rPr>
              <w:t>（4）项目负责人资格：机电工程二级及以上注册建造师，同时具备有效的安全生产考核合格证书（B类）；</w:t>
            </w:r>
          </w:p>
          <w:p w14:paraId="15BC2357">
            <w:pPr>
              <w:spacing w:line="380" w:lineRule="exact"/>
              <w:jc w:val="left"/>
              <w:rPr>
                <w:color w:val="000000"/>
              </w:rPr>
            </w:pPr>
            <w:r>
              <w:rPr>
                <w:rFonts w:hint="eastAsia"/>
              </w:rPr>
              <w:t>（5）项目负责人业绩要求：自20</w:t>
            </w:r>
            <w:r>
              <w:rPr>
                <w:rFonts w:hint="eastAsia"/>
                <w:lang w:val="en-US" w:eastAsia="zh-CN"/>
              </w:rPr>
              <w:t>21</w:t>
            </w:r>
            <w:r>
              <w:rPr>
                <w:rFonts w:hint="eastAsia"/>
              </w:rPr>
              <w:t>年</w:t>
            </w:r>
            <w:r>
              <w:rPr>
                <w:rFonts w:hint="eastAsia"/>
                <w:lang w:val="en-US" w:eastAsia="zh-CN"/>
              </w:rPr>
              <w:t>9</w:t>
            </w:r>
            <w:r>
              <w:rPr>
                <w:rFonts w:hint="eastAsia"/>
              </w:rPr>
              <w:t>月至投标截止日，在投标企业任职期内承担过类似及以上工程（类似工程是指合同金额≥</w:t>
            </w:r>
            <w:r>
              <w:rPr>
                <w:rFonts w:hint="eastAsia"/>
                <w:lang w:val="en-US" w:eastAsia="zh-CN"/>
              </w:rPr>
              <w:t>2</w:t>
            </w:r>
            <w:r>
              <w:rPr>
                <w:rFonts w:hint="eastAsia"/>
              </w:rPr>
              <w:t>00万元及以上输变电工程，时间以竣工验收时间为准）；</w:t>
            </w:r>
          </w:p>
        </w:tc>
      </w:tr>
      <w:tr w14:paraId="42C6D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389" w:type="pct"/>
            <w:vAlign w:val="center"/>
          </w:tcPr>
          <w:p w14:paraId="3372CC44">
            <w:pPr>
              <w:numPr>
                <w:ilvl w:val="0"/>
                <w:numId w:val="2"/>
              </w:numPr>
              <w:tabs>
                <w:tab w:val="left" w:pos="180"/>
                <w:tab w:val="clear" w:pos="227"/>
              </w:tabs>
              <w:jc w:val="center"/>
              <w:rPr>
                <w:color w:val="000000"/>
              </w:rPr>
            </w:pPr>
          </w:p>
        </w:tc>
        <w:tc>
          <w:tcPr>
            <w:tcW w:w="1073" w:type="pct"/>
            <w:vAlign w:val="top"/>
          </w:tcPr>
          <w:p w14:paraId="2AE6DA2F">
            <w:pPr>
              <w:pStyle w:val="25"/>
              <w:spacing w:before="81" w:line="219" w:lineRule="auto"/>
              <w:outlineLvl w:val="0"/>
              <w:rPr>
                <w:rFonts w:ascii="Times New Roman" w:hAnsi="Times New Roman" w:eastAsia="宋体" w:cs="Times New Roman"/>
                <w:kern w:val="2"/>
                <w:sz w:val="21"/>
                <w:szCs w:val="24"/>
                <w:lang w:val="en-US" w:eastAsia="en-US" w:bidi="ar-SA"/>
              </w:rPr>
            </w:pPr>
            <w:r>
              <w:rPr>
                <w:rFonts w:ascii="Times New Roman" w:hAnsi="Times New Roman" w:eastAsia="宋体" w:cs="Times New Roman"/>
                <w:kern w:val="2"/>
                <w:sz w:val="21"/>
                <w:szCs w:val="24"/>
                <w:lang w:val="en-US" w:eastAsia="zh-CN" w:bidi="ar-SA"/>
              </w:rPr>
              <w:t>资格审查方式</w:t>
            </w:r>
          </w:p>
        </w:tc>
        <w:tc>
          <w:tcPr>
            <w:tcW w:w="3537" w:type="pct"/>
            <w:vAlign w:val="top"/>
          </w:tcPr>
          <w:p w14:paraId="234EA140">
            <w:pPr>
              <w:pStyle w:val="25"/>
              <w:spacing w:before="81" w:line="219" w:lineRule="auto"/>
              <w:rPr>
                <w:rFonts w:ascii="Times New Roman" w:hAnsi="Times New Roman" w:eastAsia="宋体" w:cs="Times New Roman"/>
                <w:kern w:val="2"/>
                <w:sz w:val="21"/>
                <w:szCs w:val="24"/>
                <w:lang w:val="en-US" w:eastAsia="en-US" w:bidi="ar-SA"/>
              </w:rPr>
            </w:pPr>
            <w:r>
              <w:rPr>
                <w:rFonts w:ascii="Times New Roman" w:hAnsi="Times New Roman" w:eastAsia="宋体" w:cs="Times New Roman"/>
                <w:kern w:val="2"/>
                <w:sz w:val="21"/>
                <w:szCs w:val="24"/>
                <w:lang w:val="en-US" w:eastAsia="zh-CN" w:bidi="ar-SA"/>
              </w:rPr>
              <w:t>资格后审</w:t>
            </w:r>
          </w:p>
        </w:tc>
      </w:tr>
      <w:tr w14:paraId="4AD7D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389" w:type="pct"/>
            <w:vAlign w:val="center"/>
          </w:tcPr>
          <w:p w14:paraId="0BB7E504">
            <w:pPr>
              <w:numPr>
                <w:ilvl w:val="0"/>
                <w:numId w:val="2"/>
              </w:numPr>
              <w:tabs>
                <w:tab w:val="left" w:pos="180"/>
                <w:tab w:val="clear" w:pos="227"/>
              </w:tabs>
              <w:jc w:val="center"/>
              <w:rPr>
                <w:color w:val="000000"/>
              </w:rPr>
            </w:pPr>
          </w:p>
        </w:tc>
        <w:tc>
          <w:tcPr>
            <w:tcW w:w="1073" w:type="pct"/>
            <w:vAlign w:val="center"/>
          </w:tcPr>
          <w:p w14:paraId="460043AF">
            <w:pPr>
              <w:spacing w:after="120"/>
            </w:pPr>
            <w:r>
              <w:t>投标有效期</w:t>
            </w:r>
          </w:p>
        </w:tc>
        <w:tc>
          <w:tcPr>
            <w:tcW w:w="3537" w:type="pct"/>
            <w:vAlign w:val="center"/>
          </w:tcPr>
          <w:p w14:paraId="5B74D8AF">
            <w:pPr>
              <w:spacing w:line="380" w:lineRule="exact"/>
              <w:jc w:val="left"/>
            </w:pPr>
            <w:r>
              <w:t>投标截止期后</w:t>
            </w:r>
            <w:r>
              <w:rPr>
                <w:rFonts w:hint="eastAsia"/>
                <w:lang w:val="en-US" w:eastAsia="zh-CN"/>
              </w:rPr>
              <w:t>15</w:t>
            </w:r>
            <w:r>
              <w:t>个</w:t>
            </w:r>
            <w:r>
              <w:rPr>
                <w:rFonts w:hint="eastAsia"/>
                <w:lang w:val="en-US" w:eastAsia="zh-CN"/>
              </w:rPr>
              <w:t>自然日</w:t>
            </w:r>
            <w:r>
              <w:t>内有效</w:t>
            </w:r>
          </w:p>
        </w:tc>
      </w:tr>
      <w:tr w14:paraId="5C207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389" w:type="pct"/>
            <w:vAlign w:val="center"/>
          </w:tcPr>
          <w:p w14:paraId="5CD5B280">
            <w:pPr>
              <w:numPr>
                <w:ilvl w:val="0"/>
                <w:numId w:val="2"/>
              </w:numPr>
              <w:tabs>
                <w:tab w:val="left" w:pos="180"/>
                <w:tab w:val="clear" w:pos="227"/>
              </w:tabs>
              <w:jc w:val="center"/>
              <w:rPr>
                <w:color w:val="000000"/>
              </w:rPr>
            </w:pPr>
          </w:p>
        </w:tc>
        <w:tc>
          <w:tcPr>
            <w:tcW w:w="1073" w:type="pct"/>
            <w:vAlign w:val="center"/>
          </w:tcPr>
          <w:p w14:paraId="6967F1C4">
            <w:pPr>
              <w:spacing w:after="120"/>
              <w:rPr>
                <w:rFonts w:hint="default" w:eastAsia="宋体"/>
                <w:lang w:val="en-US" w:eastAsia="zh-CN"/>
              </w:rPr>
            </w:pPr>
            <w:r>
              <w:t>开标</w:t>
            </w:r>
            <w:r>
              <w:rPr>
                <w:rFonts w:hint="eastAsia"/>
                <w:lang w:val="en-US" w:eastAsia="zh-CN"/>
              </w:rPr>
              <w:t>及评价方法（标准）</w:t>
            </w:r>
          </w:p>
        </w:tc>
        <w:tc>
          <w:tcPr>
            <w:tcW w:w="3537" w:type="pct"/>
            <w:vAlign w:val="center"/>
          </w:tcPr>
          <w:p w14:paraId="5BD9A5AB">
            <w:pPr>
              <w:spacing w:line="380" w:lineRule="exact"/>
              <w:jc w:val="left"/>
              <w:rPr>
                <w:highlight w:val="none"/>
              </w:rPr>
            </w:pPr>
            <w:r>
              <w:rPr>
                <w:highlight w:val="none"/>
              </w:rPr>
              <w:t>时间：20</w:t>
            </w:r>
            <w:r>
              <w:rPr>
                <w:highlight w:val="none"/>
                <w:u w:val="single"/>
              </w:rPr>
              <w:t>2</w:t>
            </w:r>
            <w:r>
              <w:rPr>
                <w:rFonts w:hint="eastAsia"/>
                <w:highlight w:val="none"/>
                <w:u w:val="single"/>
                <w:lang w:val="en-US" w:eastAsia="zh-CN"/>
              </w:rPr>
              <w:t>4</w:t>
            </w:r>
            <w:r>
              <w:rPr>
                <w:highlight w:val="none"/>
              </w:rPr>
              <w:t>年</w:t>
            </w:r>
            <w:r>
              <w:rPr>
                <w:rFonts w:hint="eastAsia"/>
                <w:highlight w:val="none"/>
                <w:lang w:val="en-US" w:eastAsia="zh-CN"/>
              </w:rPr>
              <w:t>10</w:t>
            </w:r>
            <w:r>
              <w:rPr>
                <w:highlight w:val="none"/>
              </w:rPr>
              <w:t>月</w:t>
            </w:r>
            <w:r>
              <w:rPr>
                <w:rFonts w:hint="eastAsia"/>
                <w:highlight w:val="none"/>
                <w:lang w:val="en-US" w:eastAsia="zh-CN"/>
              </w:rPr>
              <w:t>12</w:t>
            </w:r>
            <w:r>
              <w:rPr>
                <w:highlight w:val="none"/>
              </w:rPr>
              <w:t>日 17</w:t>
            </w:r>
            <w:r>
              <w:rPr>
                <w:rFonts w:hint="eastAsia"/>
                <w:highlight w:val="none"/>
              </w:rPr>
              <w:t>:0</w:t>
            </w:r>
            <w:r>
              <w:rPr>
                <w:highlight w:val="none"/>
              </w:rPr>
              <w:t>0 整</w:t>
            </w:r>
          </w:p>
          <w:p w14:paraId="22F040D8">
            <w:pPr>
              <w:spacing w:line="380" w:lineRule="exact"/>
              <w:jc w:val="left"/>
              <w:rPr>
                <w:rFonts w:hint="eastAsia"/>
                <w:lang w:val="en-US" w:eastAsia="zh-CN"/>
              </w:rPr>
            </w:pPr>
            <w:r>
              <w:t>方式：</w:t>
            </w:r>
            <w:r>
              <w:rPr>
                <w:rFonts w:hint="eastAsia"/>
                <w:lang w:val="en-US" w:eastAsia="zh-CN"/>
              </w:rPr>
              <w:t>本工程采用二次报价的办法，第一轮报价入围前三名的方可进行第二轮报价</w:t>
            </w:r>
          </w:p>
          <w:p w14:paraId="6B90EE62">
            <w:pPr>
              <w:spacing w:line="380" w:lineRule="exact"/>
              <w:jc w:val="left"/>
              <w:rPr>
                <w:rFonts w:hint="default" w:eastAsia="宋体"/>
                <w:lang w:val="en-US" w:eastAsia="zh-CN"/>
              </w:rPr>
            </w:pPr>
            <w:r>
              <w:rPr>
                <w:rFonts w:hint="eastAsia"/>
                <w:lang w:val="en-US" w:eastAsia="zh-CN"/>
              </w:rPr>
              <w:t>评价方法：合理低价（严重偏离市场价格报价视为废标）</w:t>
            </w:r>
          </w:p>
        </w:tc>
      </w:tr>
      <w:tr w14:paraId="2AE7C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389" w:type="pct"/>
            <w:vAlign w:val="center"/>
          </w:tcPr>
          <w:p w14:paraId="4AFC8127">
            <w:pPr>
              <w:numPr>
                <w:ilvl w:val="0"/>
                <w:numId w:val="2"/>
              </w:numPr>
              <w:tabs>
                <w:tab w:val="left" w:pos="180"/>
                <w:tab w:val="clear" w:pos="227"/>
              </w:tabs>
              <w:jc w:val="center"/>
              <w:rPr>
                <w:color w:val="000000"/>
              </w:rPr>
            </w:pPr>
          </w:p>
        </w:tc>
        <w:tc>
          <w:tcPr>
            <w:tcW w:w="1073" w:type="pct"/>
            <w:vAlign w:val="center"/>
          </w:tcPr>
          <w:p w14:paraId="29543DD5">
            <w:pPr>
              <w:spacing w:after="120"/>
              <w:rPr>
                <w:rFonts w:hint="default" w:eastAsia="宋体"/>
                <w:lang w:val="en-US" w:eastAsia="zh-CN"/>
              </w:rPr>
            </w:pPr>
            <w:r>
              <w:rPr>
                <w:rFonts w:hint="eastAsia"/>
                <w:lang w:val="en-US" w:eastAsia="zh-CN"/>
              </w:rPr>
              <w:t>投标截止日期</w:t>
            </w:r>
          </w:p>
        </w:tc>
        <w:tc>
          <w:tcPr>
            <w:tcW w:w="3537" w:type="pct"/>
            <w:vAlign w:val="center"/>
          </w:tcPr>
          <w:p w14:paraId="75A429A3">
            <w:pPr>
              <w:spacing w:line="380" w:lineRule="exact"/>
              <w:jc w:val="left"/>
              <w:rPr>
                <w:rFonts w:hint="default"/>
                <w:lang w:val="en-US" w:eastAsia="zh-CN"/>
              </w:rPr>
            </w:pPr>
            <w:r>
              <w:rPr>
                <w:rFonts w:hint="eastAsia"/>
                <w:lang w:val="en-US" w:eastAsia="zh-CN"/>
              </w:rPr>
              <w:t>招标文件发布后十五个自然日</w:t>
            </w:r>
          </w:p>
        </w:tc>
      </w:tr>
      <w:tr w14:paraId="1416A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389" w:type="pct"/>
            <w:vAlign w:val="center"/>
          </w:tcPr>
          <w:p w14:paraId="186A4C6F">
            <w:pPr>
              <w:numPr>
                <w:ilvl w:val="0"/>
                <w:numId w:val="2"/>
              </w:numPr>
              <w:tabs>
                <w:tab w:val="left" w:pos="180"/>
                <w:tab w:val="clear" w:pos="227"/>
              </w:tabs>
              <w:jc w:val="center"/>
              <w:rPr>
                <w:color w:val="000000"/>
              </w:rPr>
            </w:pPr>
          </w:p>
        </w:tc>
        <w:tc>
          <w:tcPr>
            <w:tcW w:w="1073" w:type="pct"/>
            <w:vAlign w:val="center"/>
          </w:tcPr>
          <w:p w14:paraId="414AFF2C">
            <w:pPr>
              <w:spacing w:after="120"/>
              <w:rPr>
                <w:rFonts w:hint="default" w:eastAsia="宋体"/>
                <w:lang w:val="en-US" w:eastAsia="zh-CN"/>
              </w:rPr>
            </w:pPr>
            <w:r>
              <w:t>招标</w:t>
            </w:r>
            <w:r>
              <w:rPr>
                <w:rFonts w:hint="eastAsia"/>
                <w:lang w:val="en-US" w:eastAsia="zh-CN"/>
              </w:rPr>
              <w:t>响应文件份数</w:t>
            </w:r>
          </w:p>
        </w:tc>
        <w:tc>
          <w:tcPr>
            <w:tcW w:w="3537" w:type="pct"/>
            <w:vAlign w:val="center"/>
          </w:tcPr>
          <w:p w14:paraId="133BB39B">
            <w:pPr>
              <w:pStyle w:val="25"/>
              <w:spacing w:before="39" w:line="219" w:lineRule="auto"/>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每套响应文件包括：</w:t>
            </w:r>
          </w:p>
          <w:p w14:paraId="06F80863">
            <w:pPr>
              <w:pStyle w:val="25"/>
              <w:spacing w:before="26"/>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资格文件正本一份、副本叁份；</w:t>
            </w:r>
          </w:p>
          <w:p w14:paraId="0A5A1541">
            <w:pPr>
              <w:pStyle w:val="25"/>
              <w:spacing w:line="218" w:lineRule="auto"/>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响应函正本一份、副本叁份；</w:t>
            </w:r>
          </w:p>
          <w:p w14:paraId="2DB0AE1D">
            <w:pPr>
              <w:pStyle w:val="25"/>
              <w:spacing w:before="25"/>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商务标正本一份、副本叁份；</w:t>
            </w:r>
          </w:p>
          <w:p w14:paraId="0B44E6A0">
            <w:pPr>
              <w:pStyle w:val="25"/>
              <w:spacing w:before="1" w:line="218" w:lineRule="auto"/>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技术标正本一份、副本叁份。</w:t>
            </w:r>
          </w:p>
          <w:p w14:paraId="538C386C">
            <w:pPr>
              <w:spacing w:line="380" w:lineRule="exact"/>
              <w:jc w:val="left"/>
            </w:pPr>
            <w:r>
              <w:rPr>
                <w:rFonts w:hint="eastAsia" w:ascii="Times New Roman" w:hAnsi="Times New Roman" w:eastAsia="宋体" w:cs="Times New Roman"/>
                <w:kern w:val="2"/>
                <w:sz w:val="21"/>
                <w:szCs w:val="24"/>
                <w:lang w:val="en-US" w:eastAsia="zh-CN" w:bidi="ar-SA"/>
              </w:rPr>
              <w:t xml:space="preserve">电子U盘1份（内含响应文件所有内容及预算软件）    </w:t>
            </w:r>
            <w:r>
              <w:t xml:space="preserve">         </w:t>
            </w:r>
          </w:p>
        </w:tc>
      </w:tr>
      <w:tr w14:paraId="0931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389" w:type="pct"/>
            <w:vAlign w:val="center"/>
          </w:tcPr>
          <w:p w14:paraId="0D941E3B">
            <w:pPr>
              <w:numPr>
                <w:ilvl w:val="0"/>
                <w:numId w:val="2"/>
              </w:numPr>
              <w:tabs>
                <w:tab w:val="left" w:pos="180"/>
                <w:tab w:val="clear" w:pos="227"/>
              </w:tabs>
              <w:jc w:val="center"/>
              <w:rPr>
                <w:color w:val="000000"/>
              </w:rPr>
            </w:pPr>
          </w:p>
        </w:tc>
        <w:tc>
          <w:tcPr>
            <w:tcW w:w="1073" w:type="pct"/>
            <w:vAlign w:val="center"/>
          </w:tcPr>
          <w:p w14:paraId="34D58C43">
            <w:pPr>
              <w:spacing w:after="120"/>
              <w:rPr>
                <w:rFonts w:hint="default" w:eastAsia="宋体"/>
                <w:lang w:val="en-US" w:eastAsia="zh-CN"/>
              </w:rPr>
            </w:pPr>
            <w:r>
              <w:rPr>
                <w:rFonts w:hint="eastAsia"/>
                <w:lang w:val="en-US" w:eastAsia="zh-CN"/>
              </w:rPr>
              <w:t>付款方式</w:t>
            </w:r>
          </w:p>
        </w:tc>
        <w:tc>
          <w:tcPr>
            <w:tcW w:w="3537" w:type="pct"/>
            <w:vAlign w:val="center"/>
          </w:tcPr>
          <w:p w14:paraId="358DBD09">
            <w:pPr>
              <w:spacing w:line="380" w:lineRule="exact"/>
              <w:jc w:val="left"/>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合同签订后，甲方向乙方支付合同额的25%设备材料订货款，分批抵作工程进度款，在进度款金额不足扣回时，顺延至下一期。乙方须在每月25日之前向甲方申报当月已完成合格工程量，经甲方核算后，支付至当月甲方核定已完成合格工程量的70%，经甲方验收合格后支付至已完合格工程量的80%，通过供电部门验收合格，合法送电并办理结算后支付至结算价款的95%，剩余5%作为质保金，一年质保期满并无质量问题经书面申请后一次性支付（无息），乙方每次收取工程款前，必须开具等值的工程增值税专用发票（税率按最新标准执行），否则有权延期付款。支付形式为银行承兑或转账。</w:t>
            </w:r>
          </w:p>
        </w:tc>
      </w:tr>
      <w:tr w14:paraId="69A7E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389" w:type="pct"/>
            <w:vAlign w:val="center"/>
          </w:tcPr>
          <w:p w14:paraId="7D698C57">
            <w:pPr>
              <w:numPr>
                <w:ilvl w:val="0"/>
                <w:numId w:val="2"/>
              </w:numPr>
              <w:tabs>
                <w:tab w:val="left" w:pos="180"/>
                <w:tab w:val="clear" w:pos="227"/>
              </w:tabs>
              <w:jc w:val="center"/>
              <w:rPr>
                <w:color w:val="000000"/>
              </w:rPr>
            </w:pPr>
          </w:p>
        </w:tc>
        <w:tc>
          <w:tcPr>
            <w:tcW w:w="1073" w:type="pct"/>
            <w:vAlign w:val="center"/>
          </w:tcPr>
          <w:p w14:paraId="1C82D525">
            <w:pPr>
              <w:rPr>
                <w:color w:val="000000"/>
              </w:rPr>
            </w:pPr>
            <w:r>
              <w:rPr>
                <w:color w:val="000000"/>
              </w:rPr>
              <w:t>保密协定</w:t>
            </w:r>
          </w:p>
        </w:tc>
        <w:tc>
          <w:tcPr>
            <w:tcW w:w="3537" w:type="pct"/>
            <w:vAlign w:val="center"/>
          </w:tcPr>
          <w:p w14:paraId="173E2F45">
            <w:pPr>
              <w:rPr>
                <w:color w:val="000000"/>
                <w:spacing w:val="-6"/>
              </w:rPr>
            </w:pPr>
            <w:r>
              <w:rPr>
                <w:color w:val="000000"/>
                <w:spacing w:val="-6"/>
              </w:rPr>
              <w:t>投标人不得将本招标文件的所有内容，泄露给任何第三方，否则承担相应法律责任。</w:t>
            </w:r>
          </w:p>
        </w:tc>
      </w:tr>
      <w:tr w14:paraId="0A129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89" w:type="pct"/>
            <w:vAlign w:val="center"/>
          </w:tcPr>
          <w:p w14:paraId="451FA40C">
            <w:pPr>
              <w:numPr>
                <w:ilvl w:val="0"/>
                <w:numId w:val="2"/>
              </w:numPr>
              <w:tabs>
                <w:tab w:val="left" w:pos="180"/>
                <w:tab w:val="clear" w:pos="227"/>
              </w:tabs>
              <w:jc w:val="center"/>
              <w:rPr>
                <w:color w:val="000000"/>
              </w:rPr>
            </w:pPr>
          </w:p>
        </w:tc>
        <w:tc>
          <w:tcPr>
            <w:tcW w:w="1073" w:type="pct"/>
            <w:vAlign w:val="center"/>
          </w:tcPr>
          <w:p w14:paraId="4580B290">
            <w:pPr>
              <w:rPr>
                <w:color w:val="000000"/>
              </w:rPr>
            </w:pPr>
            <w:r>
              <w:rPr>
                <w:color w:val="000000"/>
              </w:rPr>
              <w:t>其他事项</w:t>
            </w:r>
          </w:p>
        </w:tc>
        <w:tc>
          <w:tcPr>
            <w:tcW w:w="3537" w:type="pct"/>
            <w:vAlign w:val="center"/>
          </w:tcPr>
          <w:p w14:paraId="6DACDEA2">
            <w:pPr>
              <w:rPr>
                <w:b/>
                <w:color w:val="000000"/>
              </w:rPr>
            </w:pPr>
            <w:r>
              <w:rPr>
                <w:b/>
                <w:color w:val="000000"/>
              </w:rPr>
              <w:t>若投标人在投标时未按要求提供本须知附件一投标承诺书，则投标人的投标文件作为废标处理，其他详见本招标文件。</w:t>
            </w:r>
          </w:p>
        </w:tc>
      </w:tr>
    </w:tbl>
    <w:p w14:paraId="2B537E46">
      <w:pPr>
        <w:pStyle w:val="19"/>
        <w:ind w:firstLine="420"/>
        <w:rPr>
          <w:color w:val="000000"/>
          <w:sz w:val="21"/>
        </w:rPr>
      </w:pPr>
      <w:r>
        <w:rPr>
          <w:color w:val="000000"/>
          <w:sz w:val="21"/>
        </w:rPr>
        <w:t>注：以上内容如有变化将另行通知，如通知其中某一内容发生变化，其余未提及的内容将不作变动。</w:t>
      </w:r>
      <w:bookmarkEnd w:id="0"/>
      <w:bookmarkStart w:id="1" w:name="_Toc311737690"/>
    </w:p>
    <w:p w14:paraId="2775A9F9">
      <w:pPr>
        <w:pStyle w:val="19"/>
        <w:ind w:firstLine="420"/>
        <w:rPr>
          <w:color w:val="000000"/>
          <w:sz w:val="21"/>
        </w:rPr>
      </w:pPr>
    </w:p>
    <w:p w14:paraId="7C5F1399">
      <w:pPr>
        <w:pStyle w:val="19"/>
        <w:ind w:firstLine="420"/>
        <w:rPr>
          <w:color w:val="000000"/>
          <w:sz w:val="21"/>
        </w:rPr>
      </w:pPr>
    </w:p>
    <w:p w14:paraId="029CE8EB">
      <w:pPr>
        <w:pStyle w:val="19"/>
        <w:ind w:firstLine="643"/>
        <w:jc w:val="center"/>
        <w:rPr>
          <w:b/>
          <w:color w:val="000000"/>
          <w:sz w:val="32"/>
          <w:szCs w:val="30"/>
        </w:rPr>
      </w:pPr>
      <w:r>
        <w:rPr>
          <w:b/>
          <w:color w:val="000000"/>
          <w:sz w:val="32"/>
          <w:szCs w:val="30"/>
        </w:rPr>
        <w:t>投标须知</w:t>
      </w:r>
      <w:bookmarkEnd w:id="1"/>
    </w:p>
    <w:p w14:paraId="7D1966DB">
      <w:pPr>
        <w:pStyle w:val="18"/>
        <w:spacing w:before="156"/>
        <w:rPr>
          <w:color w:val="000000"/>
          <w:sz w:val="21"/>
          <w:szCs w:val="21"/>
        </w:rPr>
      </w:pPr>
      <w:r>
        <w:rPr>
          <w:color w:val="000000"/>
          <w:sz w:val="21"/>
          <w:szCs w:val="21"/>
        </w:rPr>
        <w:t>资格要求</w:t>
      </w:r>
    </w:p>
    <w:p w14:paraId="43106D5F">
      <w:pPr>
        <w:pStyle w:val="17"/>
        <w:ind w:left="399" w:hanging="399"/>
        <w:rPr>
          <w:color w:val="000000"/>
          <w:sz w:val="21"/>
          <w:szCs w:val="21"/>
        </w:rPr>
      </w:pPr>
      <w:r>
        <w:rPr>
          <w:color w:val="000000"/>
          <w:sz w:val="21"/>
          <w:szCs w:val="21"/>
        </w:rPr>
        <w:t>投标人必须为通过招标人资格预审，并获得招标人批准的单位；</w:t>
      </w:r>
    </w:p>
    <w:p w14:paraId="01139718">
      <w:pPr>
        <w:pStyle w:val="17"/>
        <w:ind w:left="399" w:hanging="399"/>
        <w:rPr>
          <w:color w:val="000000"/>
          <w:sz w:val="21"/>
          <w:szCs w:val="21"/>
        </w:rPr>
      </w:pPr>
      <w:r>
        <w:rPr>
          <w:color w:val="000000"/>
          <w:sz w:val="21"/>
          <w:szCs w:val="21"/>
        </w:rPr>
        <w:t>对投标人项目部团队主要成员的任职要求：</w:t>
      </w:r>
    </w:p>
    <w:p w14:paraId="4FF16206">
      <w:pPr>
        <w:spacing w:line="400" w:lineRule="exact"/>
        <w:rPr>
          <w:color w:val="000000"/>
          <w:szCs w:val="21"/>
          <w:u w:val="single"/>
        </w:rPr>
      </w:pPr>
      <w:r>
        <w:rPr>
          <w:color w:val="000000"/>
          <w:szCs w:val="21"/>
        </w:rPr>
        <w:t xml:space="preserve">1.2.1 </w:t>
      </w:r>
      <w:r>
        <w:rPr>
          <w:szCs w:val="21"/>
        </w:rPr>
        <w:t>项目管理团队岗位配置齐全，满足现场管理要求</w:t>
      </w:r>
      <w:r>
        <w:rPr>
          <w:color w:val="000000"/>
          <w:szCs w:val="21"/>
        </w:rPr>
        <w:t>。</w:t>
      </w:r>
    </w:p>
    <w:p w14:paraId="3FC81FE0">
      <w:pPr>
        <w:spacing w:line="400" w:lineRule="exact"/>
        <w:rPr>
          <w:color w:val="000000"/>
          <w:szCs w:val="21"/>
          <w:u w:val="single"/>
        </w:rPr>
      </w:pPr>
      <w:r>
        <w:rPr>
          <w:color w:val="000000"/>
          <w:szCs w:val="21"/>
        </w:rPr>
        <w:t>1.2.2</w:t>
      </w:r>
      <w:r>
        <w:rPr>
          <w:color w:val="000000"/>
          <w:szCs w:val="21"/>
          <w:u w:val="single"/>
        </w:rPr>
        <w:t xml:space="preserve"> 未经招标人批准，所有现场管理人员不得更换。</w:t>
      </w:r>
    </w:p>
    <w:p w14:paraId="25B7CFE3">
      <w:pPr>
        <w:pStyle w:val="17"/>
        <w:ind w:left="399" w:hanging="399"/>
        <w:rPr>
          <w:color w:val="000000"/>
          <w:sz w:val="21"/>
          <w:szCs w:val="21"/>
        </w:rPr>
      </w:pPr>
      <w:r>
        <w:rPr>
          <w:color w:val="000000"/>
          <w:sz w:val="21"/>
          <w:szCs w:val="21"/>
        </w:rPr>
        <w:t>投标人在投标时需按招标人的要求提供以下资料：</w:t>
      </w:r>
    </w:p>
    <w:p w14:paraId="72F82AE3">
      <w:pPr>
        <w:pStyle w:val="16"/>
        <w:rPr>
          <w:color w:val="000000"/>
          <w:sz w:val="21"/>
          <w:szCs w:val="21"/>
        </w:rPr>
      </w:pPr>
      <w:r>
        <w:rPr>
          <w:color w:val="000000"/>
          <w:sz w:val="21"/>
          <w:szCs w:val="21"/>
        </w:rPr>
        <w:t xml:space="preserve">拟用于本工程的项目团队的组织架构体系，包括拟委派的项目经理、项目副经理、项目总工的资格证书、个人简历、工作简历、以往荣誉和健康证明、与本工程相适应的资历与经验的证明文件； </w:t>
      </w:r>
    </w:p>
    <w:p w14:paraId="08AB5B15">
      <w:pPr>
        <w:pStyle w:val="16"/>
        <w:rPr>
          <w:color w:val="000000"/>
          <w:sz w:val="21"/>
          <w:szCs w:val="21"/>
        </w:rPr>
      </w:pPr>
      <w:r>
        <w:rPr>
          <w:color w:val="000000"/>
          <w:sz w:val="21"/>
          <w:szCs w:val="21"/>
        </w:rPr>
        <w:t>投标人的财务状况，包括最近三年的损益表，资产负债表和审计人员的报告，当年和下年预计投资项目的款项以及投标人给予其开户银行的、由该行向招标人提供投标人财务状况证明的授权书</w:t>
      </w:r>
      <w:r>
        <w:rPr>
          <w:rFonts w:hint="eastAsia"/>
          <w:color w:val="000000"/>
          <w:sz w:val="21"/>
          <w:szCs w:val="21"/>
          <w:lang w:eastAsia="zh-CN"/>
        </w:rPr>
        <w:t>。</w:t>
      </w:r>
    </w:p>
    <w:p w14:paraId="1B904615">
      <w:pPr>
        <w:pStyle w:val="18"/>
        <w:spacing w:before="156"/>
        <w:rPr>
          <w:color w:val="000000"/>
          <w:sz w:val="21"/>
          <w:szCs w:val="21"/>
        </w:rPr>
      </w:pPr>
      <w:r>
        <w:rPr>
          <w:color w:val="000000"/>
          <w:sz w:val="21"/>
          <w:szCs w:val="21"/>
        </w:rPr>
        <w:t>投标费用</w:t>
      </w:r>
    </w:p>
    <w:p w14:paraId="7C0A83CA">
      <w:pPr>
        <w:pStyle w:val="17"/>
        <w:ind w:left="399" w:hanging="399"/>
        <w:rPr>
          <w:color w:val="000000"/>
          <w:sz w:val="21"/>
          <w:szCs w:val="21"/>
        </w:rPr>
      </w:pPr>
      <w:r>
        <w:rPr>
          <w:color w:val="000000"/>
          <w:sz w:val="21"/>
          <w:szCs w:val="21"/>
        </w:rPr>
        <w:t>投标人承担其投标全过程所涉及的一切费用，不管投标结果如何，招标人对上述费用不承担任何责任。</w:t>
      </w:r>
    </w:p>
    <w:p w14:paraId="308F8AE6">
      <w:pPr>
        <w:pStyle w:val="17"/>
        <w:ind w:left="399" w:hanging="399"/>
        <w:rPr>
          <w:color w:val="000000"/>
          <w:sz w:val="21"/>
          <w:szCs w:val="21"/>
        </w:rPr>
      </w:pPr>
      <w:r>
        <w:rPr>
          <w:color w:val="000000"/>
          <w:sz w:val="21"/>
          <w:szCs w:val="21"/>
        </w:rPr>
        <w:t>其他补充条款：</w:t>
      </w:r>
      <w:r>
        <w:rPr>
          <w:color w:val="000000"/>
          <w:sz w:val="21"/>
          <w:szCs w:val="21"/>
          <w:u w:val="single"/>
        </w:rPr>
        <w:t xml:space="preserve">                                                                        </w:t>
      </w:r>
      <w:r>
        <w:rPr>
          <w:color w:val="000000"/>
          <w:sz w:val="21"/>
          <w:szCs w:val="21"/>
        </w:rPr>
        <w:t xml:space="preserve"> </w:t>
      </w:r>
    </w:p>
    <w:p w14:paraId="766FC140">
      <w:pPr>
        <w:pStyle w:val="18"/>
        <w:spacing w:before="156"/>
        <w:rPr>
          <w:color w:val="000000"/>
          <w:sz w:val="21"/>
          <w:szCs w:val="21"/>
        </w:rPr>
      </w:pPr>
      <w:r>
        <w:rPr>
          <w:color w:val="000000"/>
          <w:sz w:val="21"/>
          <w:szCs w:val="21"/>
        </w:rPr>
        <w:t>招标文件的内容</w:t>
      </w:r>
    </w:p>
    <w:p w14:paraId="2A627E9B">
      <w:pPr>
        <w:pStyle w:val="17"/>
      </w:pPr>
      <w:r>
        <w:t>本招标文件包括下列文件及所有按本须知发出的任何答疑文件和补充修改文件：</w:t>
      </w:r>
    </w:p>
    <w:p w14:paraId="39F16484">
      <w:pPr>
        <w:pStyle w:val="16"/>
        <w:rPr>
          <w:color w:val="000000"/>
          <w:sz w:val="21"/>
          <w:szCs w:val="21"/>
        </w:rPr>
      </w:pPr>
      <w:r>
        <w:rPr>
          <w:color w:val="000000"/>
          <w:sz w:val="21"/>
          <w:szCs w:val="21"/>
        </w:rPr>
        <w:t>投标须知（含投标须知前附页、投标须知）</w:t>
      </w:r>
      <w:r>
        <w:rPr>
          <w:rFonts w:hint="eastAsia"/>
          <w:color w:val="000000"/>
          <w:sz w:val="21"/>
          <w:szCs w:val="21"/>
          <w:lang w:eastAsia="zh-CN"/>
        </w:rPr>
        <w:t>；</w:t>
      </w:r>
    </w:p>
    <w:p w14:paraId="77D57737">
      <w:pPr>
        <w:pStyle w:val="16"/>
        <w:rPr>
          <w:color w:val="000000"/>
          <w:sz w:val="21"/>
          <w:szCs w:val="21"/>
        </w:rPr>
      </w:pPr>
      <w:r>
        <w:rPr>
          <w:color w:val="000000"/>
          <w:sz w:val="21"/>
          <w:szCs w:val="21"/>
        </w:rPr>
        <w:t>合同书（协议书、通用条款、专用条款及附件）</w:t>
      </w:r>
      <w:r>
        <w:rPr>
          <w:rFonts w:hint="eastAsia"/>
          <w:color w:val="000000"/>
          <w:sz w:val="21"/>
          <w:szCs w:val="21"/>
          <w:lang w:eastAsia="zh-CN"/>
        </w:rPr>
        <w:t>；</w:t>
      </w:r>
    </w:p>
    <w:p w14:paraId="7BA05563">
      <w:pPr>
        <w:pStyle w:val="16"/>
        <w:rPr>
          <w:color w:val="000000"/>
          <w:sz w:val="21"/>
          <w:szCs w:val="21"/>
        </w:rPr>
      </w:pPr>
      <w:r>
        <w:rPr>
          <w:color w:val="000000"/>
          <w:sz w:val="21"/>
          <w:szCs w:val="21"/>
        </w:rPr>
        <w:t xml:space="preserve">投标书（含投标承诺函、法定代表人资格证明书、授权委托书等）； </w:t>
      </w:r>
    </w:p>
    <w:p w14:paraId="29F7B597">
      <w:pPr>
        <w:pStyle w:val="16"/>
        <w:rPr>
          <w:color w:val="000000"/>
          <w:sz w:val="21"/>
          <w:szCs w:val="21"/>
        </w:rPr>
      </w:pPr>
      <w:r>
        <w:rPr>
          <w:color w:val="000000"/>
          <w:sz w:val="21"/>
          <w:szCs w:val="21"/>
        </w:rPr>
        <w:t xml:space="preserve">工程量清单； </w:t>
      </w:r>
    </w:p>
    <w:p w14:paraId="6044D746">
      <w:pPr>
        <w:pStyle w:val="16"/>
        <w:rPr>
          <w:color w:val="000000"/>
          <w:sz w:val="21"/>
          <w:szCs w:val="21"/>
        </w:rPr>
      </w:pPr>
      <w:r>
        <w:rPr>
          <w:color w:val="000000"/>
          <w:sz w:val="21"/>
          <w:szCs w:val="21"/>
        </w:rPr>
        <w:t>招标图纸目录及图纸</w:t>
      </w:r>
      <w:r>
        <w:rPr>
          <w:rFonts w:hint="eastAsia"/>
          <w:color w:val="000000"/>
          <w:sz w:val="21"/>
          <w:szCs w:val="21"/>
          <w:lang w:eastAsia="zh-CN"/>
        </w:rPr>
        <w:t>。</w:t>
      </w:r>
    </w:p>
    <w:p w14:paraId="1A3E33CF">
      <w:pPr>
        <w:pStyle w:val="17"/>
        <w:ind w:left="399" w:hanging="399"/>
        <w:rPr>
          <w:color w:val="000000"/>
          <w:sz w:val="21"/>
          <w:szCs w:val="21"/>
        </w:rPr>
      </w:pPr>
      <w:r>
        <w:rPr>
          <w:color w:val="000000"/>
          <w:sz w:val="21"/>
          <w:szCs w:val="21"/>
        </w:rPr>
        <w:t>投标人应认真审阅招标文件中的各个组成部分，充分了解本招标文件中的各项规定和投标人一旦中标后须承担的合同责任和义务；如果投标人的投标文件不能满足本须知的要求，责任由投标人自负，不符合招标文件要求的投标文件将视为废标。</w:t>
      </w:r>
    </w:p>
    <w:p w14:paraId="2E82F998">
      <w:pPr>
        <w:pStyle w:val="18"/>
        <w:spacing w:before="156"/>
        <w:rPr>
          <w:color w:val="000000"/>
          <w:sz w:val="21"/>
          <w:szCs w:val="21"/>
        </w:rPr>
      </w:pPr>
      <w:r>
        <w:rPr>
          <w:color w:val="000000"/>
          <w:sz w:val="21"/>
          <w:szCs w:val="21"/>
        </w:rPr>
        <w:t>保密</w:t>
      </w:r>
    </w:p>
    <w:p w14:paraId="6515A4B8">
      <w:pPr>
        <w:pStyle w:val="17"/>
        <w:numPr>
          <w:ilvl w:val="0"/>
          <w:numId w:val="0"/>
        </w:numPr>
        <w:ind w:left="399"/>
        <w:rPr>
          <w:color w:val="000000"/>
          <w:sz w:val="21"/>
          <w:szCs w:val="21"/>
        </w:rPr>
      </w:pPr>
      <w:r>
        <w:rPr>
          <w:color w:val="000000"/>
          <w:sz w:val="21"/>
          <w:szCs w:val="21"/>
        </w:rPr>
        <w:t>参与招标投标活动的各方应对招标文件中的商业和技术等内容保密，违者应对由此造成的后果承担法律责任。</w:t>
      </w:r>
    </w:p>
    <w:p w14:paraId="1CC04992">
      <w:pPr>
        <w:pStyle w:val="18"/>
        <w:spacing w:before="156"/>
        <w:rPr>
          <w:color w:val="000000"/>
          <w:sz w:val="21"/>
          <w:szCs w:val="21"/>
        </w:rPr>
      </w:pPr>
      <w:r>
        <w:rPr>
          <w:color w:val="000000"/>
          <w:sz w:val="21"/>
          <w:szCs w:val="21"/>
        </w:rPr>
        <w:t>招标文件的澄清</w:t>
      </w:r>
    </w:p>
    <w:p w14:paraId="30C59262">
      <w:pPr>
        <w:pStyle w:val="17"/>
        <w:ind w:left="283" w:leftChars="1" w:hanging="281" w:hangingChars="134"/>
        <w:rPr>
          <w:color w:val="000000"/>
          <w:sz w:val="21"/>
          <w:szCs w:val="21"/>
        </w:rPr>
      </w:pPr>
      <w:bookmarkStart w:id="2" w:name="_Ref257030176"/>
      <w:r>
        <w:rPr>
          <w:color w:val="000000"/>
          <w:sz w:val="21"/>
          <w:szCs w:val="21"/>
        </w:rPr>
        <w:t>投标人在获得招标文件和工程图纸后，如果有问题需要招标人解释和答疑，应当在要求的时间前，分</w:t>
      </w:r>
      <w:r>
        <w:rPr>
          <w:rFonts w:hint="eastAsia"/>
          <w:color w:val="000000"/>
          <w:sz w:val="21"/>
          <w:szCs w:val="21"/>
          <w:lang w:eastAsia="zh-CN"/>
        </w:rPr>
        <w:t xml:space="preserve"> </w:t>
      </w:r>
      <w:r>
        <w:rPr>
          <w:color w:val="000000"/>
          <w:sz w:val="21"/>
          <w:szCs w:val="21"/>
          <w:lang w:eastAsia="zh-CN"/>
        </w:rPr>
        <w:t xml:space="preserve">     </w:t>
      </w:r>
      <w:r>
        <w:rPr>
          <w:color w:val="000000"/>
          <w:sz w:val="21"/>
          <w:szCs w:val="21"/>
        </w:rPr>
        <w:t>别以电子版方式向招标人提出质疑文件；质疑文件由投标人</w:t>
      </w:r>
      <w:r>
        <w:rPr>
          <w:color w:val="000000"/>
          <w:sz w:val="21"/>
          <w:szCs w:val="21"/>
          <w:lang w:eastAsia="zh-CN"/>
        </w:rPr>
        <w:t>通过旭辉采购平台递交（提供书面盖章扫描版及可编辑的电子版）</w:t>
      </w:r>
      <w:r>
        <w:rPr>
          <w:color w:val="000000"/>
          <w:sz w:val="21"/>
          <w:szCs w:val="21"/>
        </w:rPr>
        <w:t>。</w:t>
      </w:r>
      <w:bookmarkEnd w:id="2"/>
    </w:p>
    <w:p w14:paraId="4D2F507D">
      <w:pPr>
        <w:pStyle w:val="17"/>
        <w:ind w:left="399" w:hanging="399"/>
        <w:rPr>
          <w:color w:val="000000"/>
          <w:sz w:val="21"/>
          <w:szCs w:val="21"/>
        </w:rPr>
      </w:pPr>
      <w:r>
        <w:rPr>
          <w:color w:val="000000"/>
          <w:sz w:val="21"/>
          <w:szCs w:val="21"/>
        </w:rPr>
        <w:t>招标人将以书面形式答复（包括对询问的解释，但不说明询问的来源）所有获得招标文件的投标人；</w:t>
      </w:r>
    </w:p>
    <w:p w14:paraId="06518152">
      <w:pPr>
        <w:pStyle w:val="17"/>
        <w:ind w:left="399" w:hanging="399"/>
        <w:rPr>
          <w:color w:val="000000"/>
          <w:sz w:val="21"/>
          <w:szCs w:val="21"/>
        </w:rPr>
      </w:pPr>
      <w:r>
        <w:rPr>
          <w:color w:val="000000"/>
          <w:sz w:val="21"/>
          <w:szCs w:val="21"/>
        </w:rPr>
        <w:t>由此而形成的答疑文件或补充招标文件是招标文件的组成部分，与招标文件具有同等效力；</w:t>
      </w:r>
    </w:p>
    <w:p w14:paraId="0279DA92">
      <w:pPr>
        <w:pStyle w:val="17"/>
        <w:ind w:left="399" w:hanging="399"/>
        <w:rPr>
          <w:color w:val="000000"/>
          <w:sz w:val="21"/>
          <w:szCs w:val="21"/>
        </w:rPr>
      </w:pPr>
      <w:r>
        <w:rPr>
          <w:color w:val="000000"/>
          <w:sz w:val="21"/>
          <w:szCs w:val="21"/>
        </w:rPr>
        <w:t>答疑的目的是澄清各投标人的疑问、解答该阶段投标人可能提出的任何有关方面的问题。</w:t>
      </w:r>
    </w:p>
    <w:p w14:paraId="2E16A78E">
      <w:pPr>
        <w:pStyle w:val="17"/>
        <w:ind w:left="401" w:hanging="401"/>
        <w:rPr>
          <w:b/>
          <w:color w:val="000000"/>
          <w:sz w:val="21"/>
          <w:szCs w:val="21"/>
        </w:rPr>
      </w:pPr>
      <w:r>
        <w:rPr>
          <w:b/>
          <w:color w:val="000000"/>
          <w:sz w:val="21"/>
          <w:szCs w:val="21"/>
        </w:rPr>
        <w:t>特别提醒投标人注意：如果投标人发现招标文件中存在错误（包括但不限于：各个组成部分之间出现歧义或存在相互矛盾；组成文件中出现明显或不符合思维逻辑等的错误；打印错误）时，投标人应按规定的时间与方式提出质疑文件。如果投标人在投标过程中未能发现并未对有关歧义、矛盾、错误提出质疑，中标后，中标人必须接受由招标人依据合同有关条款做出的书面解释。</w:t>
      </w:r>
    </w:p>
    <w:p w14:paraId="328B0BF1">
      <w:pPr>
        <w:pStyle w:val="18"/>
        <w:spacing w:before="156"/>
        <w:rPr>
          <w:color w:val="000000"/>
          <w:sz w:val="21"/>
          <w:szCs w:val="21"/>
        </w:rPr>
      </w:pPr>
      <w:r>
        <w:rPr>
          <w:color w:val="000000"/>
          <w:sz w:val="21"/>
          <w:szCs w:val="21"/>
        </w:rPr>
        <w:t>招标文件的修改</w:t>
      </w:r>
    </w:p>
    <w:p w14:paraId="1E95FFCE">
      <w:pPr>
        <w:pStyle w:val="17"/>
        <w:ind w:left="399" w:hanging="399"/>
        <w:rPr>
          <w:color w:val="000000"/>
          <w:sz w:val="21"/>
          <w:szCs w:val="21"/>
        </w:rPr>
      </w:pPr>
      <w:r>
        <w:rPr>
          <w:color w:val="000000"/>
          <w:sz w:val="21"/>
          <w:szCs w:val="21"/>
        </w:rPr>
        <w:t>招标人对已发出的招标文件进行必要的澄清和修改的，将在招标文件要求提交投标文件截止时间前，以书面形式通知所有招标文件收受人。该澄清或者修改的内容为招标文件的组成部分。</w:t>
      </w:r>
    </w:p>
    <w:p w14:paraId="45E67896">
      <w:pPr>
        <w:pStyle w:val="17"/>
        <w:ind w:left="399" w:hanging="399"/>
        <w:rPr>
          <w:color w:val="000000"/>
          <w:sz w:val="21"/>
          <w:szCs w:val="21"/>
        </w:rPr>
      </w:pPr>
      <w:r>
        <w:rPr>
          <w:color w:val="000000"/>
          <w:sz w:val="21"/>
          <w:szCs w:val="21"/>
        </w:rPr>
        <w:t>招标文件的补充文件将以书面的方式发给所有获得招标文件的投标人，并对他们起约束作用。投标人收到招标文件的任何补充文件后，应立即以书面的方式通知招标人，确认已经收到招标文件的补充文件。</w:t>
      </w:r>
    </w:p>
    <w:p w14:paraId="63AEFE9E">
      <w:pPr>
        <w:pStyle w:val="17"/>
        <w:ind w:left="399" w:hanging="399"/>
        <w:rPr>
          <w:color w:val="000000"/>
          <w:sz w:val="21"/>
          <w:szCs w:val="21"/>
        </w:rPr>
      </w:pPr>
      <w:r>
        <w:rPr>
          <w:color w:val="000000"/>
          <w:sz w:val="21"/>
          <w:szCs w:val="21"/>
        </w:rPr>
        <w:t>如果招标人对招标文件进行了修改，当其认为有必要时或为国家有关法律法规所必须时，招标人可以通知投标人延长本须知规定的投标截止时间。这种通知将以书面的方式发给所有获得招标文件的投标人，投标人收到通知后，应当立即以书面的方式通知招标人，确认已经收到该通知。</w:t>
      </w:r>
    </w:p>
    <w:p w14:paraId="2539DF12">
      <w:pPr>
        <w:pStyle w:val="17"/>
        <w:ind w:left="399" w:hanging="399"/>
        <w:rPr>
          <w:color w:val="000000"/>
          <w:sz w:val="21"/>
          <w:szCs w:val="21"/>
        </w:rPr>
      </w:pPr>
      <w:r>
        <w:rPr>
          <w:color w:val="000000"/>
          <w:sz w:val="21"/>
          <w:szCs w:val="21"/>
        </w:rPr>
        <w:t>投标人对本招标文件若有异议，收到本招标文件5日内书面通知招标人，招标人给予书面答疑，异议部分以招标人书面答疑为准，投标人未提出异议的，将视为投标人已完全认可，一旦投标人中标，不得以任何借口要求变更、索赔及补偿。</w:t>
      </w:r>
    </w:p>
    <w:p w14:paraId="1D1795A4">
      <w:pPr>
        <w:pStyle w:val="17"/>
        <w:ind w:left="399" w:hanging="399"/>
        <w:rPr>
          <w:color w:val="000000"/>
          <w:sz w:val="21"/>
          <w:szCs w:val="21"/>
        </w:rPr>
      </w:pPr>
      <w:r>
        <w:rPr>
          <w:color w:val="000000"/>
          <w:sz w:val="21"/>
          <w:szCs w:val="21"/>
        </w:rPr>
        <w:t>当招标文件、招标文件的澄清、修改、补充等在同一内容的表述上不一致时</w:t>
      </w:r>
      <w:r>
        <w:rPr>
          <w:rFonts w:hint="eastAsia"/>
          <w:color w:val="000000"/>
          <w:sz w:val="21"/>
          <w:szCs w:val="21"/>
          <w:lang w:eastAsia="zh-CN"/>
        </w:rPr>
        <w:t>，</w:t>
      </w:r>
      <w:r>
        <w:rPr>
          <w:color w:val="000000"/>
          <w:sz w:val="21"/>
          <w:szCs w:val="21"/>
        </w:rPr>
        <w:t>以最后发出的书面文件为准。</w:t>
      </w:r>
    </w:p>
    <w:p w14:paraId="0421B505">
      <w:pPr>
        <w:pStyle w:val="18"/>
        <w:spacing w:before="156"/>
        <w:rPr>
          <w:color w:val="000000"/>
          <w:sz w:val="21"/>
          <w:szCs w:val="21"/>
        </w:rPr>
      </w:pPr>
      <w:r>
        <w:rPr>
          <w:color w:val="000000"/>
          <w:sz w:val="21"/>
          <w:szCs w:val="21"/>
          <w:lang w:eastAsia="zh-CN"/>
        </w:rPr>
        <w:t xml:space="preserve"> </w:t>
      </w:r>
      <w:r>
        <w:rPr>
          <w:color w:val="000000"/>
          <w:sz w:val="21"/>
          <w:szCs w:val="21"/>
        </w:rPr>
        <w:t>现场踏勘</w:t>
      </w:r>
    </w:p>
    <w:p w14:paraId="4EF8666B">
      <w:pPr>
        <w:pStyle w:val="17"/>
        <w:ind w:left="399" w:hanging="399"/>
        <w:rPr>
          <w:color w:val="000000"/>
          <w:sz w:val="21"/>
          <w:szCs w:val="21"/>
        </w:rPr>
      </w:pPr>
      <w:r>
        <w:rPr>
          <w:color w:val="000000"/>
          <w:sz w:val="21"/>
          <w:szCs w:val="21"/>
        </w:rPr>
        <w:t>投标人须自行对工程现场及其周围环境进行现场踏勘，以获取有关投标准备和签署合同所需的所有数据和信息，踏勘现场的费用由投标人自行承担，投标人进入现场踏勘须遵守现场的管理制度要求</w:t>
      </w:r>
      <w:r>
        <w:rPr>
          <w:rFonts w:hint="eastAsia"/>
          <w:color w:val="000000"/>
          <w:sz w:val="21"/>
          <w:szCs w:val="21"/>
          <w:lang w:eastAsia="zh-CN"/>
        </w:rPr>
        <w:t>。</w:t>
      </w:r>
    </w:p>
    <w:p w14:paraId="3C588B47">
      <w:pPr>
        <w:pStyle w:val="17"/>
        <w:ind w:left="399" w:hanging="399"/>
        <w:rPr>
          <w:color w:val="000000"/>
          <w:sz w:val="21"/>
          <w:szCs w:val="21"/>
        </w:rPr>
      </w:pPr>
      <w:r>
        <w:rPr>
          <w:color w:val="000000"/>
          <w:sz w:val="21"/>
          <w:szCs w:val="21"/>
        </w:rPr>
        <w:t>经招标人允许和事先安排，投标人及其代表方能进入现场进行踏勘。在投标截止日期前，投标人理由合理且招标人同意的，招标人可允许投标人申请对现场进行追加踏勘。但本须知明确规定，投标人及其代表不得让招标人为其现场踏勘负任何责任。投标人及其代表必须承担那些进入现场后，由于自身的行为所造成的人身伤害（不管是否致命）、财产损失和损坏的后果与责任。</w:t>
      </w:r>
    </w:p>
    <w:p w14:paraId="084E6E83">
      <w:pPr>
        <w:pStyle w:val="17"/>
        <w:ind w:left="399" w:hanging="399"/>
        <w:rPr>
          <w:color w:val="000000"/>
          <w:sz w:val="21"/>
          <w:szCs w:val="21"/>
        </w:rPr>
      </w:pPr>
      <w:r>
        <w:rPr>
          <w:color w:val="000000"/>
          <w:sz w:val="21"/>
          <w:szCs w:val="21"/>
        </w:rPr>
        <w:t>投标人踏勘现场应充分重视本须知说明的情况，以及招标文件中本工程范围与周边的界限和配合施工。</w:t>
      </w:r>
    </w:p>
    <w:p w14:paraId="2538430D">
      <w:pPr>
        <w:pStyle w:val="17"/>
        <w:ind w:left="399" w:hanging="399"/>
        <w:rPr>
          <w:color w:val="000000"/>
          <w:sz w:val="21"/>
          <w:szCs w:val="21"/>
        </w:rPr>
      </w:pPr>
      <w:r>
        <w:rPr>
          <w:color w:val="000000"/>
          <w:sz w:val="21"/>
          <w:szCs w:val="21"/>
        </w:rPr>
        <w:t>因投标人未进行现场踏勘而造成的投标文件偏离等一切后果，均由投标人自行承担。</w:t>
      </w:r>
    </w:p>
    <w:p w14:paraId="7486E32F">
      <w:pPr>
        <w:pStyle w:val="17"/>
        <w:ind w:left="284" w:hanging="284"/>
        <w:rPr>
          <w:sz w:val="21"/>
          <w:szCs w:val="21"/>
        </w:rPr>
      </w:pPr>
      <w:r>
        <w:rPr>
          <w:sz w:val="21"/>
          <w:szCs w:val="21"/>
        </w:rPr>
        <w:t>招标人声明招标文件中的现场地质勘察资料及有关施工现场情况和相关的市政管线等数据均仅供投标人参考，招标人不对投标人由此而做出的推论、理解和结论负责。投标人有义务通过自己的努力来核查相关资料的准确性。</w:t>
      </w:r>
    </w:p>
    <w:p w14:paraId="50D61FF8">
      <w:pPr>
        <w:pStyle w:val="18"/>
        <w:spacing w:before="156"/>
        <w:rPr>
          <w:sz w:val="21"/>
          <w:szCs w:val="21"/>
        </w:rPr>
      </w:pPr>
      <w:bookmarkStart w:id="3" w:name="_Toc14432509"/>
      <w:bookmarkStart w:id="4" w:name="_Toc14433086"/>
      <w:r>
        <w:rPr>
          <w:sz w:val="21"/>
          <w:szCs w:val="21"/>
        </w:rPr>
        <w:t>投标文件的组成</w:t>
      </w:r>
      <w:bookmarkEnd w:id="3"/>
      <w:bookmarkEnd w:id="4"/>
    </w:p>
    <w:p w14:paraId="6055E9A9">
      <w:pPr>
        <w:pStyle w:val="17"/>
        <w:rPr>
          <w:sz w:val="21"/>
        </w:rPr>
      </w:pPr>
      <w:r>
        <w:rPr>
          <w:sz w:val="21"/>
        </w:rPr>
        <w:t>本次招标的投标文件由以下部分组成：【A、B】</w:t>
      </w:r>
    </w:p>
    <w:p w14:paraId="45D05E47">
      <w:pPr>
        <w:pStyle w:val="17"/>
        <w:numPr>
          <w:ilvl w:val="0"/>
          <w:numId w:val="0"/>
        </w:numPr>
        <w:rPr>
          <w:sz w:val="21"/>
        </w:rPr>
      </w:pPr>
      <w:r>
        <w:rPr>
          <w:sz w:val="21"/>
        </w:rPr>
        <w:t>A:商务标部分</w:t>
      </w:r>
    </w:p>
    <w:p w14:paraId="4DB97531">
      <w:pPr>
        <w:pStyle w:val="17"/>
        <w:numPr>
          <w:ilvl w:val="0"/>
          <w:numId w:val="0"/>
        </w:numPr>
        <w:rPr>
          <w:sz w:val="21"/>
        </w:rPr>
      </w:pPr>
      <w:r>
        <w:rPr>
          <w:sz w:val="21"/>
        </w:rPr>
        <w:t>B:技术标部分</w:t>
      </w:r>
    </w:p>
    <w:p w14:paraId="22CB4F83">
      <w:pPr>
        <w:pStyle w:val="17"/>
        <w:numPr>
          <w:ilvl w:val="0"/>
          <w:numId w:val="0"/>
        </w:numPr>
        <w:rPr>
          <w:sz w:val="21"/>
        </w:rPr>
      </w:pPr>
      <w:r>
        <w:rPr>
          <w:sz w:val="21"/>
        </w:rPr>
        <w:t>8.2商务标须包括下列文件：</w:t>
      </w:r>
    </w:p>
    <w:p w14:paraId="5A5D2976">
      <w:pPr>
        <w:pStyle w:val="18"/>
        <w:numPr>
          <w:ilvl w:val="0"/>
          <w:numId w:val="0"/>
        </w:numPr>
        <w:spacing w:before="156"/>
        <w:rPr>
          <w:b w:val="0"/>
          <w:sz w:val="21"/>
        </w:rPr>
      </w:pPr>
      <w:r>
        <w:rPr>
          <w:b w:val="0"/>
          <w:sz w:val="21"/>
        </w:rPr>
        <w:t>8.2.1投标承诺书（盖公章）</w:t>
      </w:r>
    </w:p>
    <w:p w14:paraId="5FD64321">
      <w:pPr>
        <w:pStyle w:val="18"/>
        <w:numPr>
          <w:ilvl w:val="0"/>
          <w:numId w:val="0"/>
        </w:numPr>
        <w:spacing w:before="156"/>
        <w:rPr>
          <w:b w:val="0"/>
          <w:sz w:val="21"/>
        </w:rPr>
      </w:pPr>
      <w:r>
        <w:rPr>
          <w:b w:val="0"/>
          <w:sz w:val="21"/>
        </w:rPr>
        <w:t>8.2.2法定代表人资格证明书（盖公章，并附法定代表人身份证复印件）</w:t>
      </w:r>
    </w:p>
    <w:p w14:paraId="5F1813FC">
      <w:pPr>
        <w:pStyle w:val="18"/>
        <w:numPr>
          <w:ilvl w:val="0"/>
          <w:numId w:val="0"/>
        </w:numPr>
        <w:spacing w:before="156"/>
        <w:rPr>
          <w:b w:val="0"/>
          <w:sz w:val="21"/>
        </w:rPr>
      </w:pPr>
      <w:r>
        <w:rPr>
          <w:b w:val="0"/>
          <w:sz w:val="21"/>
        </w:rPr>
        <w:t>8.2.3授权委托书（盖公章，并附授权委托人身份证复印件）</w:t>
      </w:r>
    </w:p>
    <w:p w14:paraId="204DC9A9">
      <w:pPr>
        <w:pStyle w:val="18"/>
        <w:numPr>
          <w:ilvl w:val="0"/>
          <w:numId w:val="0"/>
        </w:numPr>
        <w:spacing w:before="156"/>
        <w:rPr>
          <w:b w:val="0"/>
          <w:sz w:val="21"/>
        </w:rPr>
      </w:pPr>
      <w:r>
        <w:rPr>
          <w:b w:val="0"/>
          <w:sz w:val="21"/>
        </w:rPr>
        <w:t>8.2.4投标报价汇总表（须盖公章并单独上传）</w:t>
      </w:r>
    </w:p>
    <w:p w14:paraId="0B3E561B">
      <w:pPr>
        <w:pStyle w:val="18"/>
        <w:numPr>
          <w:ilvl w:val="0"/>
          <w:numId w:val="0"/>
        </w:numPr>
        <w:spacing w:before="156"/>
        <w:rPr>
          <w:b w:val="0"/>
          <w:sz w:val="21"/>
        </w:rPr>
      </w:pPr>
      <w:r>
        <w:rPr>
          <w:b w:val="0"/>
          <w:sz w:val="21"/>
        </w:rPr>
        <w:t>8.2.5工程量清单报价表（电子版）</w:t>
      </w:r>
    </w:p>
    <w:p w14:paraId="0322518D">
      <w:pPr>
        <w:pStyle w:val="18"/>
        <w:numPr>
          <w:ilvl w:val="0"/>
          <w:numId w:val="0"/>
        </w:numPr>
        <w:spacing w:before="156"/>
        <w:rPr>
          <w:b w:val="0"/>
          <w:sz w:val="21"/>
        </w:rPr>
      </w:pPr>
      <w:r>
        <w:rPr>
          <w:b w:val="0"/>
          <w:sz w:val="21"/>
        </w:rPr>
        <w:t>8.2.6投标说明。在招标文件中未有清楚界定责任归属，而投标人认为应由招标人负责的工作或责任的说明。说明内同时亦必须列明若这些工作或责任由中标人负责时所需的取费和费率。投标人不应滥用此条款。说明内所列的工作或责任必定不能与招标文件所说明的相悖，若有相悖之处，则所列之项目均不会获考虑。</w:t>
      </w:r>
    </w:p>
    <w:p w14:paraId="4C4CD5A3">
      <w:pPr>
        <w:pStyle w:val="18"/>
        <w:numPr>
          <w:ilvl w:val="0"/>
          <w:numId w:val="0"/>
        </w:numPr>
        <w:spacing w:before="156"/>
        <w:rPr>
          <w:b w:val="0"/>
          <w:sz w:val="21"/>
        </w:rPr>
      </w:pPr>
      <w:r>
        <w:rPr>
          <w:b w:val="0"/>
          <w:sz w:val="21"/>
        </w:rPr>
        <w:t>8.3技术标须包括下列文件：</w:t>
      </w:r>
    </w:p>
    <w:p w14:paraId="65F0DF1C">
      <w:pPr>
        <w:pStyle w:val="18"/>
        <w:numPr>
          <w:ilvl w:val="0"/>
          <w:numId w:val="0"/>
        </w:numPr>
        <w:spacing w:before="156"/>
        <w:rPr>
          <w:b w:val="0"/>
          <w:sz w:val="21"/>
        </w:rPr>
      </w:pPr>
      <w:r>
        <w:rPr>
          <w:b w:val="0"/>
          <w:sz w:val="21"/>
        </w:rPr>
        <w:t>8.3.1 编制说明及编制依据：</w:t>
      </w:r>
    </w:p>
    <w:p w14:paraId="6272D4BA">
      <w:pPr>
        <w:pStyle w:val="18"/>
        <w:numPr>
          <w:ilvl w:val="0"/>
          <w:numId w:val="0"/>
        </w:numPr>
        <w:spacing w:before="156"/>
        <w:rPr>
          <w:b w:val="0"/>
          <w:sz w:val="21"/>
        </w:rPr>
      </w:pPr>
      <w:r>
        <w:rPr>
          <w:b w:val="0"/>
          <w:sz w:val="21"/>
        </w:rPr>
        <w:t>8.3.2 工程概况及特点：</w:t>
      </w:r>
    </w:p>
    <w:p w14:paraId="3157B0EC">
      <w:pPr>
        <w:pStyle w:val="18"/>
        <w:numPr>
          <w:ilvl w:val="0"/>
          <w:numId w:val="0"/>
        </w:numPr>
        <w:spacing w:before="156"/>
        <w:rPr>
          <w:b w:val="0"/>
          <w:sz w:val="21"/>
        </w:rPr>
      </w:pPr>
      <w:r>
        <w:rPr>
          <w:b w:val="0"/>
          <w:sz w:val="21"/>
        </w:rPr>
        <w:t>8.3.2.1总述</w:t>
      </w:r>
    </w:p>
    <w:p w14:paraId="3CC36B0B">
      <w:pPr>
        <w:pStyle w:val="18"/>
        <w:numPr>
          <w:ilvl w:val="0"/>
          <w:numId w:val="0"/>
        </w:numPr>
        <w:spacing w:before="156"/>
        <w:rPr>
          <w:b w:val="0"/>
          <w:sz w:val="21"/>
        </w:rPr>
      </w:pPr>
      <w:r>
        <w:rPr>
          <w:b w:val="0"/>
          <w:sz w:val="21"/>
        </w:rPr>
        <w:t>8.3.2.2工程概况</w:t>
      </w:r>
    </w:p>
    <w:p w14:paraId="0B3016F1">
      <w:pPr>
        <w:pStyle w:val="18"/>
        <w:numPr>
          <w:ilvl w:val="0"/>
          <w:numId w:val="0"/>
        </w:numPr>
        <w:spacing w:before="156"/>
        <w:rPr>
          <w:b w:val="0"/>
          <w:sz w:val="21"/>
        </w:rPr>
      </w:pPr>
      <w:r>
        <w:rPr>
          <w:b w:val="0"/>
          <w:sz w:val="21"/>
        </w:rPr>
        <w:t>8.3.2.3施工目标</w:t>
      </w:r>
    </w:p>
    <w:p w14:paraId="688ED84C">
      <w:pPr>
        <w:pStyle w:val="18"/>
        <w:numPr>
          <w:ilvl w:val="0"/>
          <w:numId w:val="0"/>
        </w:numPr>
        <w:spacing w:before="156"/>
        <w:rPr>
          <w:b w:val="0"/>
          <w:sz w:val="21"/>
        </w:rPr>
      </w:pPr>
      <w:r>
        <w:rPr>
          <w:b w:val="0"/>
          <w:sz w:val="21"/>
        </w:rPr>
        <w:t>8.3.2.4本工程的重点及难点</w:t>
      </w:r>
    </w:p>
    <w:p w14:paraId="34B4920F">
      <w:pPr>
        <w:pStyle w:val="18"/>
        <w:numPr>
          <w:ilvl w:val="0"/>
          <w:numId w:val="0"/>
        </w:numPr>
        <w:spacing w:before="156"/>
        <w:rPr>
          <w:b w:val="0"/>
          <w:sz w:val="21"/>
        </w:rPr>
      </w:pPr>
      <w:r>
        <w:rPr>
          <w:b w:val="0"/>
          <w:sz w:val="21"/>
        </w:rPr>
        <w:t>8.3.3 项目组织管理机构</w:t>
      </w:r>
    </w:p>
    <w:p w14:paraId="2AC3905C">
      <w:pPr>
        <w:pStyle w:val="18"/>
        <w:numPr>
          <w:ilvl w:val="0"/>
          <w:numId w:val="0"/>
        </w:numPr>
        <w:spacing w:before="156"/>
        <w:rPr>
          <w:b w:val="0"/>
          <w:sz w:val="21"/>
        </w:rPr>
      </w:pPr>
      <w:r>
        <w:rPr>
          <w:b w:val="0"/>
          <w:sz w:val="21"/>
        </w:rPr>
        <w:t>8.3.3.1项目经理及主要管理人员简介（含主要管理人员业绩表及社保缴纳证明）</w:t>
      </w:r>
    </w:p>
    <w:p w14:paraId="6F099BEB">
      <w:pPr>
        <w:pStyle w:val="18"/>
        <w:numPr>
          <w:ilvl w:val="0"/>
          <w:numId w:val="0"/>
        </w:numPr>
        <w:spacing w:before="156"/>
        <w:rPr>
          <w:b w:val="0"/>
          <w:sz w:val="21"/>
        </w:rPr>
      </w:pPr>
      <w:r>
        <w:rPr>
          <w:b w:val="0"/>
          <w:sz w:val="21"/>
        </w:rPr>
        <w:t>8.3.3.2以上人员相应资质的复印件</w:t>
      </w:r>
    </w:p>
    <w:p w14:paraId="255A3692">
      <w:pPr>
        <w:pStyle w:val="18"/>
        <w:numPr>
          <w:ilvl w:val="0"/>
          <w:numId w:val="0"/>
        </w:numPr>
        <w:spacing w:before="156"/>
        <w:rPr>
          <w:b w:val="0"/>
          <w:sz w:val="21"/>
        </w:rPr>
      </w:pPr>
      <w:r>
        <w:rPr>
          <w:b w:val="0"/>
          <w:sz w:val="21"/>
        </w:rPr>
        <w:t>8.3.3.3管理机构职责划分</w:t>
      </w:r>
    </w:p>
    <w:p w14:paraId="22ED5930">
      <w:pPr>
        <w:pStyle w:val="18"/>
        <w:numPr>
          <w:ilvl w:val="0"/>
          <w:numId w:val="0"/>
        </w:numPr>
        <w:spacing w:before="156"/>
        <w:rPr>
          <w:b w:val="0"/>
          <w:sz w:val="21"/>
        </w:rPr>
      </w:pPr>
      <w:r>
        <w:rPr>
          <w:b w:val="0"/>
          <w:sz w:val="21"/>
        </w:rPr>
        <w:t>8.3.3.4投标人须明确投标人与本项目团队的行政隶属关系、项目管理模式，并提供相应的证明文件</w:t>
      </w:r>
    </w:p>
    <w:p w14:paraId="216A0E05">
      <w:pPr>
        <w:pStyle w:val="18"/>
        <w:numPr>
          <w:ilvl w:val="0"/>
          <w:numId w:val="0"/>
        </w:numPr>
        <w:spacing w:before="156"/>
        <w:rPr>
          <w:b w:val="0"/>
          <w:sz w:val="21"/>
        </w:rPr>
      </w:pPr>
      <w:r>
        <w:rPr>
          <w:b w:val="0"/>
          <w:sz w:val="21"/>
        </w:rPr>
        <w:t>8.3.4 施工进度计划表及劳动力安排</w:t>
      </w:r>
    </w:p>
    <w:p w14:paraId="68036ACB">
      <w:pPr>
        <w:pStyle w:val="18"/>
        <w:numPr>
          <w:ilvl w:val="0"/>
          <w:numId w:val="0"/>
        </w:numPr>
        <w:spacing w:before="156"/>
        <w:rPr>
          <w:b w:val="0"/>
          <w:sz w:val="21"/>
        </w:rPr>
      </w:pPr>
      <w:r>
        <w:rPr>
          <w:b w:val="0"/>
          <w:sz w:val="21"/>
        </w:rPr>
        <w:t>8.3.4.1总工期及进度计划安排</w:t>
      </w:r>
    </w:p>
    <w:p w14:paraId="71FE5DAA">
      <w:pPr>
        <w:pStyle w:val="18"/>
        <w:numPr>
          <w:ilvl w:val="0"/>
          <w:numId w:val="0"/>
        </w:numPr>
        <w:spacing w:before="156"/>
        <w:rPr>
          <w:b w:val="0"/>
          <w:sz w:val="21"/>
        </w:rPr>
      </w:pPr>
      <w:r>
        <w:rPr>
          <w:b w:val="0"/>
          <w:sz w:val="21"/>
        </w:rPr>
        <w:t>8.3.4.2工期保证措施</w:t>
      </w:r>
    </w:p>
    <w:p w14:paraId="5B3BDB24">
      <w:pPr>
        <w:pStyle w:val="18"/>
        <w:numPr>
          <w:ilvl w:val="0"/>
          <w:numId w:val="0"/>
        </w:numPr>
        <w:spacing w:before="156"/>
        <w:rPr>
          <w:b w:val="0"/>
          <w:sz w:val="21"/>
        </w:rPr>
      </w:pPr>
      <w:r>
        <w:rPr>
          <w:b w:val="0"/>
          <w:sz w:val="21"/>
        </w:rPr>
        <w:t>8.3.4.3劳动力计划</w:t>
      </w:r>
    </w:p>
    <w:p w14:paraId="600A954F">
      <w:pPr>
        <w:pStyle w:val="18"/>
        <w:numPr>
          <w:ilvl w:val="0"/>
          <w:numId w:val="0"/>
        </w:numPr>
        <w:spacing w:before="156"/>
        <w:rPr>
          <w:b w:val="0"/>
          <w:sz w:val="21"/>
        </w:rPr>
      </w:pPr>
      <w:r>
        <w:rPr>
          <w:b w:val="0"/>
          <w:sz w:val="21"/>
        </w:rPr>
        <w:t>8.3.4.4主材供应计划</w:t>
      </w:r>
    </w:p>
    <w:p w14:paraId="1263DB28">
      <w:pPr>
        <w:pStyle w:val="18"/>
        <w:numPr>
          <w:ilvl w:val="0"/>
          <w:numId w:val="0"/>
        </w:numPr>
        <w:spacing w:before="156"/>
        <w:rPr>
          <w:b w:val="0"/>
          <w:sz w:val="21"/>
        </w:rPr>
      </w:pPr>
      <w:r>
        <w:rPr>
          <w:b w:val="0"/>
          <w:sz w:val="21"/>
        </w:rPr>
        <w:t>8.3.5 工程施工方案及技术措施要求</w:t>
      </w:r>
    </w:p>
    <w:p w14:paraId="20F11BF3">
      <w:pPr>
        <w:pStyle w:val="18"/>
        <w:numPr>
          <w:ilvl w:val="0"/>
          <w:numId w:val="0"/>
        </w:numPr>
        <w:spacing w:before="156"/>
        <w:rPr>
          <w:b w:val="0"/>
          <w:sz w:val="21"/>
        </w:rPr>
      </w:pPr>
      <w:r>
        <w:rPr>
          <w:b w:val="0"/>
          <w:sz w:val="21"/>
        </w:rPr>
        <w:t>8.3.6 质量目标及保证措施</w:t>
      </w:r>
    </w:p>
    <w:p w14:paraId="28C2847D">
      <w:pPr>
        <w:pStyle w:val="18"/>
        <w:numPr>
          <w:ilvl w:val="0"/>
          <w:numId w:val="0"/>
        </w:numPr>
        <w:spacing w:before="156"/>
        <w:rPr>
          <w:b w:val="0"/>
          <w:sz w:val="21"/>
        </w:rPr>
      </w:pPr>
      <w:r>
        <w:rPr>
          <w:b w:val="0"/>
          <w:sz w:val="21"/>
        </w:rPr>
        <w:t>8.3.7 安全文明目标及保证措施</w:t>
      </w:r>
    </w:p>
    <w:p w14:paraId="660E43C4">
      <w:pPr>
        <w:pStyle w:val="18"/>
        <w:numPr>
          <w:ilvl w:val="0"/>
          <w:numId w:val="0"/>
        </w:numPr>
        <w:spacing w:before="156"/>
        <w:rPr>
          <w:b w:val="0"/>
          <w:sz w:val="21"/>
        </w:rPr>
      </w:pPr>
      <w:r>
        <w:rPr>
          <w:b w:val="0"/>
          <w:sz w:val="21"/>
        </w:rPr>
        <w:t>8.3.8 施工措施</w:t>
      </w:r>
    </w:p>
    <w:p w14:paraId="5857C73A">
      <w:pPr>
        <w:pStyle w:val="18"/>
        <w:numPr>
          <w:ilvl w:val="0"/>
          <w:numId w:val="0"/>
        </w:numPr>
        <w:spacing w:before="156"/>
        <w:rPr>
          <w:b w:val="0"/>
          <w:sz w:val="21"/>
        </w:rPr>
      </w:pPr>
      <w:r>
        <w:rPr>
          <w:b w:val="0"/>
          <w:sz w:val="21"/>
        </w:rPr>
        <w:t>8.3.8.1与总包及其他相关单位的协调配合措施</w:t>
      </w:r>
    </w:p>
    <w:p w14:paraId="242EDA7C">
      <w:pPr>
        <w:pStyle w:val="18"/>
        <w:numPr>
          <w:ilvl w:val="0"/>
          <w:numId w:val="0"/>
        </w:numPr>
        <w:spacing w:before="156"/>
        <w:rPr>
          <w:b w:val="0"/>
          <w:sz w:val="21"/>
        </w:rPr>
      </w:pPr>
      <w:r>
        <w:rPr>
          <w:b w:val="0"/>
          <w:sz w:val="21"/>
        </w:rPr>
        <w:t>8.3.8.2成品、半成品保护措施</w:t>
      </w:r>
    </w:p>
    <w:p w14:paraId="5BB5D6E1">
      <w:pPr>
        <w:pStyle w:val="18"/>
        <w:numPr>
          <w:ilvl w:val="0"/>
          <w:numId w:val="0"/>
        </w:numPr>
        <w:spacing w:before="156"/>
        <w:rPr>
          <w:b w:val="0"/>
          <w:sz w:val="21"/>
        </w:rPr>
      </w:pPr>
      <w:r>
        <w:rPr>
          <w:b w:val="0"/>
          <w:sz w:val="21"/>
        </w:rPr>
        <w:t>8.3.8.3初保洁、精保洁组织与实施计划、方案和措施</w:t>
      </w:r>
    </w:p>
    <w:p w14:paraId="5684A2BB">
      <w:pPr>
        <w:pStyle w:val="18"/>
        <w:numPr>
          <w:ilvl w:val="0"/>
          <w:numId w:val="0"/>
        </w:numPr>
        <w:spacing w:before="156"/>
        <w:rPr>
          <w:b w:val="0"/>
          <w:sz w:val="21"/>
        </w:rPr>
      </w:pPr>
      <w:r>
        <w:rPr>
          <w:b w:val="0"/>
          <w:sz w:val="21"/>
        </w:rPr>
        <w:t>8.3.8.4交付前质量问题整改实施方案与措施</w:t>
      </w:r>
    </w:p>
    <w:p w14:paraId="01CF46BD">
      <w:pPr>
        <w:pStyle w:val="18"/>
        <w:numPr>
          <w:ilvl w:val="0"/>
          <w:numId w:val="0"/>
        </w:numPr>
        <w:spacing w:before="156"/>
        <w:rPr>
          <w:b w:val="0"/>
          <w:sz w:val="21"/>
        </w:rPr>
      </w:pPr>
      <w:r>
        <w:rPr>
          <w:b w:val="0"/>
          <w:sz w:val="21"/>
        </w:rPr>
        <w:t>8.3.9 交付后的维保组织体系与措施</w:t>
      </w:r>
    </w:p>
    <w:p w14:paraId="7F35CD67">
      <w:pPr>
        <w:pStyle w:val="18"/>
        <w:numPr>
          <w:ilvl w:val="0"/>
          <w:numId w:val="0"/>
        </w:numPr>
        <w:spacing w:before="156"/>
        <w:rPr>
          <w:b w:val="0"/>
          <w:sz w:val="21"/>
        </w:rPr>
      </w:pPr>
      <w:r>
        <w:rPr>
          <w:b w:val="0"/>
          <w:sz w:val="21"/>
        </w:rPr>
        <w:t>8.3.10 设计优化及合理化建议</w:t>
      </w:r>
    </w:p>
    <w:p w14:paraId="2BDE80B7">
      <w:pPr>
        <w:pStyle w:val="18"/>
        <w:numPr>
          <w:ilvl w:val="0"/>
          <w:numId w:val="0"/>
        </w:numPr>
        <w:spacing w:before="156"/>
        <w:rPr>
          <w:b w:val="0"/>
          <w:sz w:val="21"/>
        </w:rPr>
      </w:pPr>
      <w:r>
        <w:rPr>
          <w:b w:val="0"/>
          <w:sz w:val="21"/>
        </w:rPr>
        <w:t>8.3.11 投标人获得国家级或省级以上奖项的详尽说明和资料</w:t>
      </w:r>
    </w:p>
    <w:p w14:paraId="09411EA1">
      <w:pPr>
        <w:pStyle w:val="18"/>
        <w:numPr>
          <w:ilvl w:val="0"/>
          <w:numId w:val="0"/>
        </w:numPr>
        <w:spacing w:before="156"/>
        <w:rPr>
          <w:b w:val="0"/>
          <w:sz w:val="21"/>
        </w:rPr>
      </w:pPr>
      <w:r>
        <w:rPr>
          <w:b w:val="0"/>
          <w:sz w:val="21"/>
        </w:rPr>
        <w:t>8.3.12 投标人须提供近三年其发生的诉讼及仲裁情况，并附法院或仲裁机构作出的判决、裁决等有关法律文书复印件等资料（若有）</w:t>
      </w:r>
    </w:p>
    <w:p w14:paraId="55F40181">
      <w:pPr>
        <w:pStyle w:val="18"/>
        <w:numPr>
          <w:ilvl w:val="0"/>
          <w:numId w:val="0"/>
        </w:numPr>
        <w:spacing w:before="156"/>
        <w:rPr>
          <w:b w:val="0"/>
          <w:sz w:val="21"/>
        </w:rPr>
      </w:pPr>
      <w:r>
        <w:rPr>
          <w:b w:val="0"/>
          <w:sz w:val="21"/>
        </w:rPr>
        <w:t>8.3.13 投标人的营业执照、资质等级证书、安全生产许可证（在复印件上加盖公章）</w:t>
      </w:r>
    </w:p>
    <w:p w14:paraId="6599A44B">
      <w:pPr>
        <w:pStyle w:val="18"/>
        <w:numPr>
          <w:ilvl w:val="0"/>
          <w:numId w:val="0"/>
        </w:numPr>
        <w:spacing w:before="156"/>
        <w:rPr>
          <w:sz w:val="21"/>
        </w:rPr>
      </w:pPr>
      <w:r>
        <w:rPr>
          <w:b w:val="0"/>
          <w:sz w:val="21"/>
        </w:rPr>
        <w:t>8.3.14 近三年类似工程业绩表（盖公章）</w:t>
      </w:r>
    </w:p>
    <w:p w14:paraId="0FFBB873">
      <w:pPr>
        <w:autoSpaceDE w:val="0"/>
        <w:autoSpaceDN w:val="0"/>
        <w:adjustRightInd w:val="0"/>
        <w:spacing w:line="360" w:lineRule="auto"/>
        <w:ind w:left="1050" w:leftChars="200" w:hanging="630" w:hangingChars="300"/>
        <w:jc w:val="left"/>
        <w:rPr>
          <w:szCs w:val="21"/>
          <w:lang w:val="zh-CN"/>
        </w:rPr>
      </w:pPr>
    </w:p>
    <w:p w14:paraId="7672505B">
      <w:pPr>
        <w:pStyle w:val="18"/>
        <w:spacing w:before="156"/>
      </w:pPr>
      <w:bookmarkStart w:id="5" w:name="_Toc14432510"/>
      <w:bookmarkStart w:id="6" w:name="_Toc14433087"/>
      <w:r>
        <w:t>投标文件编制要求</w:t>
      </w:r>
      <w:bookmarkEnd w:id="5"/>
      <w:bookmarkEnd w:id="6"/>
    </w:p>
    <w:p w14:paraId="63EF947B">
      <w:pPr>
        <w:pStyle w:val="16"/>
        <w:numPr>
          <w:ilvl w:val="0"/>
          <w:numId w:val="0"/>
        </w:numPr>
        <w:ind w:left="425" w:hanging="425"/>
        <w:rPr>
          <w:b/>
          <w:color w:val="000000"/>
          <w:sz w:val="21"/>
          <w:szCs w:val="21"/>
        </w:rPr>
      </w:pPr>
      <w:r>
        <w:rPr>
          <w:b/>
          <w:color w:val="000000"/>
          <w:sz w:val="21"/>
          <w:szCs w:val="21"/>
        </w:rPr>
        <w:t>9.1投标文件要求</w:t>
      </w:r>
    </w:p>
    <w:p w14:paraId="77B6979A">
      <w:pPr>
        <w:autoSpaceDE w:val="0"/>
        <w:autoSpaceDN w:val="0"/>
        <w:adjustRightInd w:val="0"/>
        <w:spacing w:line="360" w:lineRule="auto"/>
        <w:ind w:left="1050" w:leftChars="200" w:hanging="630" w:hangingChars="300"/>
        <w:jc w:val="left"/>
        <w:rPr>
          <w:szCs w:val="21"/>
        </w:rPr>
      </w:pPr>
      <w:r>
        <w:rPr>
          <w:szCs w:val="21"/>
        </w:rPr>
        <w:t>9.1.1 投标承诺函：按招标文件提供的格式及要求进行编制</w:t>
      </w:r>
    </w:p>
    <w:p w14:paraId="330C7056">
      <w:pPr>
        <w:autoSpaceDE w:val="0"/>
        <w:autoSpaceDN w:val="0"/>
        <w:adjustRightInd w:val="0"/>
        <w:spacing w:line="360" w:lineRule="auto"/>
        <w:ind w:left="1050" w:leftChars="200" w:hanging="630" w:hangingChars="300"/>
        <w:jc w:val="left"/>
        <w:rPr>
          <w:szCs w:val="21"/>
        </w:rPr>
      </w:pPr>
      <w:r>
        <w:rPr>
          <w:szCs w:val="21"/>
        </w:rPr>
        <w:t>9.1.2 商务标：按招标文件提供的格式及要求进行编制</w:t>
      </w:r>
    </w:p>
    <w:p w14:paraId="44A5639D">
      <w:pPr>
        <w:autoSpaceDE w:val="0"/>
        <w:autoSpaceDN w:val="0"/>
        <w:adjustRightInd w:val="0"/>
        <w:spacing w:line="360" w:lineRule="auto"/>
        <w:ind w:left="1050" w:leftChars="200" w:hanging="630" w:hangingChars="300"/>
        <w:jc w:val="left"/>
        <w:rPr>
          <w:szCs w:val="21"/>
        </w:rPr>
      </w:pPr>
      <w:r>
        <w:rPr>
          <w:szCs w:val="21"/>
        </w:rPr>
        <w:t>9.1.3 技术标：若有分标段，则需分别编制，按招标文件要求的内容进行编制</w:t>
      </w:r>
    </w:p>
    <w:p w14:paraId="2B3D2C81">
      <w:pPr>
        <w:autoSpaceDE w:val="0"/>
        <w:autoSpaceDN w:val="0"/>
        <w:adjustRightInd w:val="0"/>
        <w:spacing w:line="360" w:lineRule="auto"/>
        <w:ind w:left="1050" w:leftChars="200" w:hanging="630" w:hangingChars="300"/>
        <w:jc w:val="left"/>
        <w:rPr>
          <w:szCs w:val="21"/>
        </w:rPr>
      </w:pPr>
      <w:r>
        <w:rPr>
          <w:szCs w:val="21"/>
        </w:rPr>
        <w:t>9.1.4 技术标中不得包含投标报价的相关内容，如包含按废标处理。</w:t>
      </w:r>
    </w:p>
    <w:p w14:paraId="4AA4089B">
      <w:pPr>
        <w:pStyle w:val="16"/>
        <w:numPr>
          <w:ilvl w:val="0"/>
          <w:numId w:val="0"/>
        </w:numPr>
        <w:ind w:left="425" w:hanging="425"/>
        <w:rPr>
          <w:b/>
          <w:color w:val="000000"/>
          <w:sz w:val="21"/>
          <w:szCs w:val="21"/>
        </w:rPr>
      </w:pPr>
      <w:r>
        <w:rPr>
          <w:b/>
          <w:color w:val="000000"/>
          <w:sz w:val="21"/>
          <w:szCs w:val="21"/>
          <w:lang w:eastAsia="zh-CN"/>
        </w:rPr>
        <w:t>9.2</w:t>
      </w:r>
      <w:r>
        <w:rPr>
          <w:b/>
          <w:color w:val="000000"/>
          <w:sz w:val="21"/>
          <w:szCs w:val="21"/>
        </w:rPr>
        <w:t>投标报价要求</w:t>
      </w:r>
    </w:p>
    <w:p w14:paraId="3366479A">
      <w:pPr>
        <w:autoSpaceDE w:val="0"/>
        <w:autoSpaceDN w:val="0"/>
        <w:adjustRightInd w:val="0"/>
        <w:spacing w:line="360" w:lineRule="auto"/>
        <w:ind w:left="1050" w:leftChars="200" w:hanging="630" w:hangingChars="300"/>
        <w:jc w:val="left"/>
        <w:rPr>
          <w:szCs w:val="21"/>
        </w:rPr>
      </w:pPr>
      <w:r>
        <w:rPr>
          <w:szCs w:val="21"/>
        </w:rPr>
        <w:t xml:space="preserve">9.2.1 本工程选用以下【 </w:t>
      </w:r>
      <w:r>
        <w:rPr>
          <w:rFonts w:hint="eastAsia"/>
          <w:szCs w:val="21"/>
          <w:lang w:val="en-US" w:eastAsia="zh-CN"/>
        </w:rPr>
        <w:t>A</w:t>
      </w:r>
      <w:r>
        <w:rPr>
          <w:szCs w:val="21"/>
        </w:rPr>
        <w:t xml:space="preserve"> 】的发包模式。</w:t>
      </w:r>
    </w:p>
    <w:p w14:paraId="6D2B7EE0">
      <w:pPr>
        <w:autoSpaceDE w:val="0"/>
        <w:autoSpaceDN w:val="0"/>
        <w:adjustRightInd w:val="0"/>
        <w:spacing w:line="360" w:lineRule="auto"/>
        <w:ind w:left="1050" w:leftChars="400" w:hanging="210" w:hangingChars="100"/>
        <w:jc w:val="left"/>
        <w:rPr>
          <w:szCs w:val="21"/>
        </w:rPr>
      </w:pPr>
      <w:r>
        <w:rPr>
          <w:szCs w:val="21"/>
        </w:rPr>
        <w:t>A、总价包干：工程量清单中所列的工作项目以及相应工程量仅作为投标报价的参考，投标人应根据工程说明、招标图纸、设计及规范要求进行全面核对，并自行承担遗漏项目或统计错误的损失，招标人提供的清单不能更改。工程量清单中缺项、遗漏的项目或工程量有差异的，投标人须提供计算式并在答疑阶段以质疑方式提出，招标人将对投标人提出的质疑进行回复，并将回复通知所有投标人，作为工程报价的依据。工程量清单中的子目原则上不能修改，投标人对其有异议的可在招标答疑阶段提出，否则视为投标总价已包含所有合同工作内容。本合同的固定总价，除合同约定外，结算时均不予调整。</w:t>
      </w:r>
    </w:p>
    <w:p w14:paraId="304AB2B2">
      <w:pPr>
        <w:autoSpaceDE w:val="0"/>
        <w:autoSpaceDN w:val="0"/>
        <w:adjustRightInd w:val="0"/>
        <w:spacing w:line="360" w:lineRule="auto"/>
        <w:ind w:left="1050" w:leftChars="400" w:hanging="210" w:hangingChars="100"/>
        <w:jc w:val="left"/>
        <w:rPr>
          <w:szCs w:val="21"/>
        </w:rPr>
      </w:pPr>
      <w:r>
        <w:rPr>
          <w:szCs w:val="21"/>
        </w:rPr>
        <w:t>B、暂定总价，单价包干：投标人按招标人提供的工程量清单填报综合单价，工程量不得修改。综合单价和措施费报价已包括完成招标人提供的招标图纸范围内工程内容、招标范围约定及合同约定的工作内容的一切相关费用。本合同中的综合包干单价，除合同约定外，结算时均不予调整。</w:t>
      </w:r>
    </w:p>
    <w:p w14:paraId="6F0A5BEB">
      <w:pPr>
        <w:autoSpaceDE w:val="0"/>
        <w:autoSpaceDN w:val="0"/>
        <w:adjustRightInd w:val="0"/>
        <w:spacing w:line="360" w:lineRule="auto"/>
        <w:ind w:left="1050" w:leftChars="200" w:hanging="630" w:hangingChars="300"/>
        <w:jc w:val="left"/>
        <w:rPr>
          <w:szCs w:val="21"/>
        </w:rPr>
      </w:pPr>
      <w:r>
        <w:rPr>
          <w:szCs w:val="21"/>
        </w:rPr>
        <w:t>9.2.2 投标人应通过现场考察了解施工场地实际情况（包括周围环境、交通道路、地质条件、周边管网等），结合工期、质量要求、现场管理要求、合同条款等因素，充分考虑本工程可能出现的各种风险，依据自</w:t>
      </w:r>
      <w:r>
        <w:rPr>
          <w:rFonts w:hint="eastAsia"/>
          <w:szCs w:val="21"/>
        </w:rPr>
        <w:t>身</w:t>
      </w:r>
      <w:r>
        <w:rPr>
          <w:szCs w:val="21"/>
        </w:rPr>
        <w:t>的经营情况、实力情况、市场行情以及企业自身发展的策略和市场风险等因素，自主进行工程量清单报价。该工程量清单的报价必须是满足招标文件、附件要求且投标人又具有一定利润的合理报价</w:t>
      </w:r>
      <w:r>
        <w:rPr>
          <w:rFonts w:hint="eastAsia"/>
          <w:szCs w:val="21"/>
        </w:rPr>
        <w:t>。</w:t>
      </w:r>
    </w:p>
    <w:p w14:paraId="74884AF3">
      <w:pPr>
        <w:autoSpaceDE w:val="0"/>
        <w:autoSpaceDN w:val="0"/>
        <w:adjustRightInd w:val="0"/>
        <w:spacing w:line="360" w:lineRule="auto"/>
        <w:ind w:left="1050" w:leftChars="200" w:hanging="630" w:hangingChars="300"/>
        <w:jc w:val="left"/>
        <w:rPr>
          <w:szCs w:val="21"/>
        </w:rPr>
      </w:pPr>
      <w:r>
        <w:rPr>
          <w:szCs w:val="21"/>
        </w:rPr>
        <w:t>9.2.3 投标人应对本次招标的清单内容进行独立和完整报价，相同清单的子项目的综合单价必须一致；若相同项目单价不一致的，则合同签订时及工程结算时按最低价进行修正</w:t>
      </w:r>
      <w:r>
        <w:rPr>
          <w:rFonts w:hint="eastAsia"/>
          <w:szCs w:val="21"/>
        </w:rPr>
        <w:t>。</w:t>
      </w:r>
    </w:p>
    <w:p w14:paraId="63516704">
      <w:pPr>
        <w:autoSpaceDE w:val="0"/>
        <w:autoSpaceDN w:val="0"/>
        <w:adjustRightInd w:val="0"/>
        <w:spacing w:line="360" w:lineRule="auto"/>
        <w:ind w:left="1050" w:leftChars="200" w:hanging="630" w:hangingChars="300"/>
        <w:jc w:val="left"/>
        <w:rPr>
          <w:szCs w:val="21"/>
        </w:rPr>
      </w:pPr>
      <w:r>
        <w:rPr>
          <w:szCs w:val="21"/>
        </w:rPr>
        <w:t>9.2.4 投标清单表中的各项目综合单价水平应保持在合理的范围之内，投标人不得采取“不平衡报价”，否则招标人有权将投标人的投标文件作“废标处理”。</w:t>
      </w:r>
    </w:p>
    <w:p w14:paraId="35C12DDE">
      <w:pPr>
        <w:autoSpaceDE w:val="0"/>
        <w:autoSpaceDN w:val="0"/>
        <w:adjustRightInd w:val="0"/>
        <w:spacing w:line="360" w:lineRule="auto"/>
        <w:ind w:left="1050" w:leftChars="200" w:hanging="630" w:hangingChars="300"/>
        <w:jc w:val="left"/>
        <w:rPr>
          <w:szCs w:val="21"/>
        </w:rPr>
      </w:pPr>
      <w:r>
        <w:rPr>
          <w:szCs w:val="21"/>
        </w:rPr>
        <w:t>9.2.5 无论任何原因，均不再因人工、材料、货物、临时措施等的波动（上浮或下沉）及其它现行法律或条件的修改而调整包干单价（或包干总价），包干单价（或包干总价）内容包括合同、施工图纸及工程量清单约定的所有工作内容，但合同另有约定的除外。</w:t>
      </w:r>
    </w:p>
    <w:p w14:paraId="0222C19F">
      <w:pPr>
        <w:autoSpaceDE w:val="0"/>
        <w:autoSpaceDN w:val="0"/>
        <w:adjustRightInd w:val="0"/>
        <w:spacing w:line="360" w:lineRule="auto"/>
        <w:ind w:left="1050" w:leftChars="200" w:hanging="630" w:hangingChars="300"/>
        <w:jc w:val="left"/>
        <w:rPr>
          <w:szCs w:val="21"/>
        </w:rPr>
      </w:pPr>
      <w:r>
        <w:rPr>
          <w:szCs w:val="21"/>
        </w:rPr>
        <w:t>9.2.6 甲指乙供主材费按《甲指乙供》表中招标人给出的暂定单价计入，损耗率自行填报，招标人给出的主材费单价为暂定价，中标后根据招标人与战略供货商签订的战略协议价格（税前价）对主材费用进行调整，人工费、机械费及措施费、管理费、利润等其他所有价格均不作调整。</w:t>
      </w:r>
    </w:p>
    <w:p w14:paraId="01F24D69">
      <w:pPr>
        <w:autoSpaceDE w:val="0"/>
        <w:autoSpaceDN w:val="0"/>
        <w:adjustRightInd w:val="0"/>
        <w:spacing w:line="360" w:lineRule="auto"/>
        <w:ind w:left="1050" w:leftChars="200" w:hanging="630" w:hangingChars="300"/>
        <w:jc w:val="left"/>
        <w:rPr>
          <w:szCs w:val="21"/>
        </w:rPr>
      </w:pPr>
      <w:r>
        <w:rPr>
          <w:szCs w:val="21"/>
        </w:rPr>
        <w:t>9.2.7 土建总包管理配合服务费，不包括在报价内，由招标人直接向土建总承包单位支付。</w:t>
      </w:r>
    </w:p>
    <w:p w14:paraId="28B28312">
      <w:pPr>
        <w:autoSpaceDE w:val="0"/>
        <w:autoSpaceDN w:val="0"/>
        <w:adjustRightInd w:val="0"/>
        <w:spacing w:line="360" w:lineRule="auto"/>
        <w:ind w:left="989" w:leftChars="199" w:hanging="571" w:hangingChars="272"/>
        <w:jc w:val="left"/>
        <w:rPr>
          <w:szCs w:val="21"/>
        </w:rPr>
      </w:pPr>
      <w:r>
        <w:rPr>
          <w:szCs w:val="21"/>
        </w:rPr>
        <w:t>9.2.8 施工水电费土建总包单位</w:t>
      </w:r>
      <w:r>
        <w:rPr>
          <w:rFonts w:hint="eastAsia"/>
          <w:szCs w:val="21"/>
        </w:rPr>
        <w:t>统一支付</w:t>
      </w:r>
      <w:r>
        <w:rPr>
          <w:szCs w:val="21"/>
        </w:rPr>
        <w:t>，本次报价包含施工用水用电的相关费用，并由</w:t>
      </w:r>
      <w:r>
        <w:rPr>
          <w:rFonts w:hint="eastAsia"/>
          <w:szCs w:val="21"/>
        </w:rPr>
        <w:t>投标人</w:t>
      </w:r>
      <w:r>
        <w:rPr>
          <w:szCs w:val="21"/>
        </w:rPr>
        <w:t>直接向土建总包方支付，原则上缴付总额不超过合同总价的1%。</w:t>
      </w:r>
    </w:p>
    <w:p w14:paraId="491FD4D6">
      <w:pPr>
        <w:autoSpaceDE w:val="0"/>
        <w:autoSpaceDN w:val="0"/>
        <w:adjustRightInd w:val="0"/>
        <w:spacing w:line="360" w:lineRule="auto"/>
        <w:ind w:left="1050" w:leftChars="200" w:hanging="630" w:hangingChars="300"/>
        <w:jc w:val="left"/>
        <w:rPr>
          <w:szCs w:val="21"/>
        </w:rPr>
      </w:pPr>
      <w:r>
        <w:rPr>
          <w:szCs w:val="21"/>
        </w:rPr>
        <w:t>9.2.9 其它计价约定：</w:t>
      </w:r>
    </w:p>
    <w:p w14:paraId="5FD3A264">
      <w:pPr>
        <w:pStyle w:val="18"/>
        <w:numPr>
          <w:ilvl w:val="0"/>
          <w:numId w:val="0"/>
        </w:numPr>
        <w:spacing w:before="156"/>
        <w:ind w:firstLine="1050" w:firstLineChars="500"/>
        <w:rPr>
          <w:b w:val="0"/>
          <w:kern w:val="2"/>
          <w:sz w:val="21"/>
          <w:szCs w:val="21"/>
          <w:lang w:val="en-US" w:eastAsia="zh-CN"/>
        </w:rPr>
      </w:pPr>
      <w:r>
        <w:rPr>
          <w:b w:val="0"/>
          <w:kern w:val="2"/>
          <w:sz w:val="21"/>
          <w:szCs w:val="21"/>
          <w:lang w:val="en-US" w:eastAsia="zh-CN"/>
        </w:rPr>
        <w:t>（1）例如：材料调差、灌木计量计价标准、带方案投标等情况</w:t>
      </w:r>
    </w:p>
    <w:p w14:paraId="2AB8E1E9">
      <w:pPr>
        <w:pStyle w:val="18"/>
        <w:spacing w:before="156"/>
        <w:rPr>
          <w:color w:val="000000"/>
          <w:sz w:val="21"/>
        </w:rPr>
      </w:pPr>
      <w:bookmarkStart w:id="7" w:name="_Toc252885808"/>
      <w:r>
        <w:rPr>
          <w:color w:val="000000"/>
          <w:sz w:val="18"/>
          <w:szCs w:val="21"/>
          <w:lang w:eastAsia="zh-CN"/>
        </w:rPr>
        <w:t xml:space="preserve"> </w:t>
      </w:r>
      <w:bookmarkStart w:id="8" w:name="_Toc14432511"/>
      <w:bookmarkStart w:id="9" w:name="_Toc14433088"/>
      <w:r>
        <w:rPr>
          <w:color w:val="000000"/>
          <w:sz w:val="21"/>
        </w:rPr>
        <w:t>材料设备</w:t>
      </w:r>
      <w:bookmarkEnd w:id="8"/>
      <w:bookmarkEnd w:id="9"/>
    </w:p>
    <w:p w14:paraId="48C7D658">
      <w:pPr>
        <w:pStyle w:val="16"/>
        <w:numPr>
          <w:ilvl w:val="0"/>
          <w:numId w:val="0"/>
        </w:numPr>
        <w:ind w:left="425" w:hanging="425"/>
        <w:rPr>
          <w:color w:val="000000"/>
          <w:sz w:val="21"/>
          <w:szCs w:val="21"/>
        </w:rPr>
      </w:pPr>
      <w:r>
        <w:rPr>
          <w:color w:val="000000"/>
          <w:sz w:val="21"/>
          <w:szCs w:val="21"/>
        </w:rPr>
        <w:t>10.1对于任何分项工程或材料设备，招标人均保留直接分包或甲供的权利，甲供材料的卸车、搬运、仓储等均由</w:t>
      </w:r>
      <w:r>
        <w:rPr>
          <w:color w:val="000000"/>
          <w:sz w:val="21"/>
          <w:szCs w:val="21"/>
          <w:lang w:eastAsia="zh-CN"/>
        </w:rPr>
        <w:t>投标人</w:t>
      </w:r>
      <w:r>
        <w:rPr>
          <w:color w:val="000000"/>
          <w:sz w:val="21"/>
          <w:szCs w:val="21"/>
        </w:rPr>
        <w:t>负责。</w:t>
      </w:r>
    </w:p>
    <w:p w14:paraId="0FFD0A52">
      <w:pPr>
        <w:pStyle w:val="16"/>
        <w:numPr>
          <w:ilvl w:val="0"/>
          <w:numId w:val="0"/>
        </w:numPr>
        <w:ind w:left="425" w:hanging="425"/>
        <w:rPr>
          <w:sz w:val="21"/>
          <w:szCs w:val="21"/>
        </w:rPr>
      </w:pPr>
      <w:r>
        <w:rPr>
          <w:sz w:val="21"/>
          <w:szCs w:val="21"/>
        </w:rPr>
        <w:t>10.2 投标人报价时按招标人提供的材料品牌、规格型号、材质要求及封样样品进行报价，投标人对同一材料的报价只允许有一个。</w:t>
      </w:r>
    </w:p>
    <w:p w14:paraId="49774BDE">
      <w:pPr>
        <w:pStyle w:val="16"/>
        <w:numPr>
          <w:ilvl w:val="0"/>
          <w:numId w:val="0"/>
        </w:numPr>
        <w:ind w:left="425" w:hanging="425"/>
        <w:rPr>
          <w:sz w:val="21"/>
          <w:szCs w:val="21"/>
        </w:rPr>
      </w:pPr>
      <w:r>
        <w:rPr>
          <w:sz w:val="21"/>
          <w:szCs w:val="21"/>
        </w:rPr>
        <w:t>10.3 中标人必须按招标人确认的样品进行采购，材料样品作为材料供应的实物标准，也是招标人作为材料进场和竣工验收的实物标准。</w:t>
      </w:r>
    </w:p>
    <w:p w14:paraId="57DF6A09">
      <w:pPr>
        <w:pStyle w:val="16"/>
        <w:numPr>
          <w:ilvl w:val="0"/>
          <w:numId w:val="0"/>
        </w:numPr>
        <w:ind w:left="425" w:hanging="425"/>
        <w:rPr>
          <w:color w:val="FF0000"/>
          <w:sz w:val="21"/>
          <w:szCs w:val="21"/>
        </w:rPr>
      </w:pPr>
      <w:r>
        <w:rPr>
          <w:sz w:val="21"/>
          <w:szCs w:val="21"/>
        </w:rPr>
        <w:t>10.4 除了符合国家相关质量标准、招标文件、设计技术文件和国家规定的技术标准的要求外，本工程所选用的所有材料均应有合格证书，并须按工程质量验收规定完成法定检测机构检测合格后方可使用。中标人若使用假冒伪劣产品，招标人有权责令其返工、停工，且中标人还需承担由此造成的所有损失和赔偿责任。无论招标人是否发现或制止</w:t>
      </w:r>
      <w:r>
        <w:rPr>
          <w:sz w:val="21"/>
          <w:szCs w:val="21"/>
          <w:lang w:eastAsia="zh-CN"/>
        </w:rPr>
        <w:t>，</w:t>
      </w:r>
      <w:r>
        <w:rPr>
          <w:sz w:val="21"/>
          <w:szCs w:val="21"/>
        </w:rPr>
        <w:t>由于中标人使用劣质材料施工所引起的一切后果均由中标人负责。</w:t>
      </w:r>
    </w:p>
    <w:p w14:paraId="2B1BC1AC">
      <w:pPr>
        <w:pStyle w:val="16"/>
        <w:numPr>
          <w:ilvl w:val="0"/>
          <w:numId w:val="0"/>
        </w:numPr>
        <w:ind w:left="425" w:hanging="425"/>
        <w:rPr>
          <w:b/>
          <w:color w:val="000000"/>
          <w:sz w:val="21"/>
          <w:szCs w:val="21"/>
        </w:rPr>
      </w:pPr>
      <w:r>
        <w:rPr>
          <w:b/>
          <w:color w:val="000000"/>
          <w:sz w:val="21"/>
          <w:szCs w:val="21"/>
        </w:rPr>
        <w:t>10.</w:t>
      </w:r>
      <w:r>
        <w:rPr>
          <w:b/>
          <w:color w:val="000000"/>
          <w:sz w:val="21"/>
          <w:szCs w:val="21"/>
          <w:lang w:eastAsia="zh-CN"/>
        </w:rPr>
        <w:t>5</w:t>
      </w:r>
      <w:r>
        <w:rPr>
          <w:b/>
          <w:color w:val="000000"/>
          <w:sz w:val="21"/>
          <w:szCs w:val="21"/>
        </w:rPr>
        <w:t xml:space="preserve"> 材料供应方式及品牌要求</w:t>
      </w:r>
    </w:p>
    <w:p w14:paraId="30AF8546">
      <w:pPr>
        <w:pStyle w:val="16"/>
        <w:numPr>
          <w:ilvl w:val="0"/>
          <w:numId w:val="0"/>
        </w:numPr>
        <w:ind w:left="425" w:hanging="425"/>
        <w:rPr>
          <w:kern w:val="2"/>
          <w:sz w:val="21"/>
          <w:szCs w:val="21"/>
          <w:lang w:val="en-US" w:eastAsia="zh-CN"/>
        </w:rPr>
      </w:pPr>
      <w:r>
        <w:rPr>
          <w:b/>
          <w:color w:val="000000"/>
          <w:sz w:val="21"/>
          <w:szCs w:val="21"/>
          <w:lang w:eastAsia="zh-CN"/>
        </w:rPr>
        <w:t xml:space="preserve">    </w:t>
      </w:r>
      <w:r>
        <w:rPr>
          <w:rFonts w:hint="eastAsia"/>
          <w:kern w:val="2"/>
          <w:sz w:val="21"/>
          <w:szCs w:val="21"/>
          <w:lang w:val="en-US" w:eastAsia="zh-CN"/>
        </w:rPr>
        <w:t>“</w:t>
      </w:r>
      <w:r>
        <w:rPr>
          <w:rFonts w:hint="eastAsia"/>
          <w:lang w:val="en-US" w:eastAsia="zh-CN"/>
        </w:rPr>
        <w:t>储能系统集成及新型动力电池</w:t>
      </w:r>
      <w:r>
        <w:rPr>
          <w:rFonts w:hint="eastAsia"/>
          <w:kern w:val="2"/>
          <w:sz w:val="21"/>
          <w:szCs w:val="21"/>
          <w:lang w:val="en-US" w:eastAsia="zh-CN"/>
        </w:rPr>
        <w:t>项目”</w:t>
      </w:r>
      <w:r>
        <w:rPr>
          <w:rFonts w:hint="eastAsia"/>
          <w:lang w:val="en-US" w:eastAsia="zh-CN"/>
        </w:rPr>
        <w:t>供配电</w:t>
      </w:r>
      <w:r>
        <w:rPr>
          <w:sz w:val="22"/>
        </w:rPr>
        <w:t>工程</w:t>
      </w:r>
      <w:r>
        <w:rPr>
          <w:rFonts w:hint="eastAsia"/>
          <w:kern w:val="2"/>
          <w:sz w:val="21"/>
          <w:szCs w:val="21"/>
          <w:lang w:val="en-US" w:eastAsia="zh-CN"/>
        </w:rPr>
        <w:t>界面及品牌表中</w:t>
      </w:r>
      <w:r>
        <w:rPr>
          <w:kern w:val="2"/>
          <w:sz w:val="21"/>
          <w:szCs w:val="21"/>
          <w:lang w:val="en-US" w:eastAsia="zh-CN"/>
        </w:rPr>
        <w:t>甲供、甲指乙供、乙供产品要求表的要求执行，若因招标人战略品牌发生变化的，招标人有权对甲供、甲指乙供材料设备进行更换，投标人不得因材料品牌变化、供货方式变化提出费用及工期索赔。</w:t>
      </w:r>
    </w:p>
    <w:p w14:paraId="1931C7B9">
      <w:pPr>
        <w:pStyle w:val="16"/>
        <w:numPr>
          <w:ilvl w:val="0"/>
          <w:numId w:val="0"/>
        </w:numPr>
        <w:spacing w:before="156" w:beforeLines="50"/>
        <w:ind w:left="425" w:hanging="425"/>
        <w:rPr>
          <w:b/>
          <w:color w:val="000000"/>
          <w:sz w:val="21"/>
          <w:szCs w:val="21"/>
        </w:rPr>
      </w:pPr>
      <w:r>
        <w:rPr>
          <w:b/>
          <w:color w:val="000000"/>
          <w:sz w:val="21"/>
          <w:szCs w:val="21"/>
        </w:rPr>
        <w:t>10.</w:t>
      </w:r>
      <w:r>
        <w:rPr>
          <w:b/>
          <w:color w:val="000000"/>
          <w:sz w:val="21"/>
          <w:szCs w:val="21"/>
          <w:lang w:eastAsia="zh-CN"/>
        </w:rPr>
        <w:t>6</w:t>
      </w:r>
      <w:r>
        <w:rPr>
          <w:b/>
          <w:color w:val="000000"/>
          <w:sz w:val="21"/>
          <w:szCs w:val="21"/>
        </w:rPr>
        <w:t xml:space="preserve"> 投标样品要求</w:t>
      </w:r>
    </w:p>
    <w:p w14:paraId="59525E33">
      <w:pPr>
        <w:autoSpaceDE w:val="0"/>
        <w:autoSpaceDN w:val="0"/>
        <w:adjustRightInd w:val="0"/>
        <w:spacing w:line="360" w:lineRule="auto"/>
        <w:ind w:left="1050" w:leftChars="200" w:hanging="630" w:hangingChars="300"/>
        <w:jc w:val="left"/>
        <w:rPr>
          <w:szCs w:val="21"/>
        </w:rPr>
      </w:pPr>
      <w:r>
        <w:rPr>
          <w:szCs w:val="21"/>
        </w:rPr>
        <w:t>10.6.1 投标人提供的材料样品</w:t>
      </w:r>
      <w:r>
        <w:rPr>
          <w:rFonts w:hint="eastAsia"/>
          <w:szCs w:val="21"/>
          <w:lang w:val="en-US" w:eastAsia="zh-CN"/>
        </w:rPr>
        <w:t>图片</w:t>
      </w:r>
      <w:r>
        <w:rPr>
          <w:szCs w:val="21"/>
        </w:rPr>
        <w:t>，应集中固定在一个</w:t>
      </w:r>
      <w:r>
        <w:rPr>
          <w:rFonts w:hint="eastAsia"/>
          <w:szCs w:val="21"/>
          <w:lang w:val="en-US" w:eastAsia="zh-CN"/>
        </w:rPr>
        <w:t>文件</w:t>
      </w:r>
      <w:r>
        <w:rPr>
          <w:szCs w:val="21"/>
        </w:rPr>
        <w:t>上，便于集中存放和运输，不易发生局部移动和遗失，每个样品对应一个封样标签（封样标签格式如下，封样标签需盖公章），投标样品需在规定的时间内提交，未提交招标人有权做废标处理。</w:t>
      </w:r>
    </w:p>
    <w:p w14:paraId="743E6517">
      <w:pPr>
        <w:autoSpaceDE w:val="0"/>
        <w:autoSpaceDN w:val="0"/>
        <w:adjustRightInd w:val="0"/>
        <w:spacing w:line="400" w:lineRule="exact"/>
        <w:ind w:firstLine="2"/>
        <w:jc w:val="center"/>
        <w:rPr>
          <w:b/>
          <w:color w:val="000000"/>
          <w:sz w:val="24"/>
        </w:rPr>
      </w:pPr>
      <w:r>
        <w:rPr>
          <w:b/>
          <w:color w:val="000000"/>
          <w:sz w:val="24"/>
        </w:rPr>
        <w:t>封样标签模板</w:t>
      </w:r>
    </w:p>
    <w:tbl>
      <w:tblPr>
        <w:tblStyle w:val="8"/>
        <w:tblW w:w="9355"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7"/>
        <w:gridCol w:w="1055"/>
        <w:gridCol w:w="1352"/>
        <w:gridCol w:w="1493"/>
        <w:gridCol w:w="1200"/>
        <w:gridCol w:w="1960"/>
        <w:gridCol w:w="1278"/>
      </w:tblGrid>
      <w:tr w14:paraId="7B78F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017" w:type="dxa"/>
            <w:tcBorders>
              <w:top w:val="single" w:color="auto" w:sz="4" w:space="0"/>
              <w:left w:val="single" w:color="auto" w:sz="4" w:space="0"/>
              <w:bottom w:val="single" w:color="auto" w:sz="4" w:space="0"/>
              <w:right w:val="single" w:color="auto" w:sz="4" w:space="0"/>
            </w:tcBorders>
            <w:vAlign w:val="center"/>
          </w:tcPr>
          <w:p w14:paraId="033762D6">
            <w:pPr>
              <w:jc w:val="center"/>
              <w:rPr>
                <w:sz w:val="18"/>
                <w:szCs w:val="18"/>
              </w:rPr>
            </w:pPr>
            <w:r>
              <w:rPr>
                <w:sz w:val="18"/>
                <w:szCs w:val="18"/>
              </w:rPr>
              <w:t>工程名称</w:t>
            </w:r>
          </w:p>
        </w:tc>
        <w:tc>
          <w:tcPr>
            <w:tcW w:w="3900" w:type="dxa"/>
            <w:gridSpan w:val="3"/>
            <w:tcBorders>
              <w:top w:val="single" w:color="auto" w:sz="4" w:space="0"/>
              <w:left w:val="single" w:color="auto" w:sz="4" w:space="0"/>
              <w:bottom w:val="single" w:color="auto" w:sz="4" w:space="0"/>
              <w:right w:val="single" w:color="auto" w:sz="4" w:space="0"/>
            </w:tcBorders>
            <w:vAlign w:val="center"/>
          </w:tcPr>
          <w:p w14:paraId="5089F3F7">
            <w:pPr>
              <w:jc w:val="center"/>
              <w:rPr>
                <w:sz w:val="18"/>
                <w:szCs w:val="18"/>
              </w:rPr>
            </w:pPr>
          </w:p>
        </w:tc>
        <w:tc>
          <w:tcPr>
            <w:tcW w:w="3160" w:type="dxa"/>
            <w:gridSpan w:val="2"/>
            <w:tcBorders>
              <w:top w:val="single" w:color="auto" w:sz="4" w:space="0"/>
              <w:left w:val="single" w:color="auto" w:sz="4" w:space="0"/>
              <w:bottom w:val="single" w:color="auto" w:sz="4" w:space="0"/>
              <w:right w:val="single" w:color="auto" w:sz="4" w:space="0"/>
            </w:tcBorders>
            <w:vAlign w:val="center"/>
          </w:tcPr>
          <w:p w14:paraId="0025F3DA">
            <w:pPr>
              <w:jc w:val="center"/>
              <w:rPr>
                <w:sz w:val="18"/>
                <w:szCs w:val="18"/>
              </w:rPr>
            </w:pPr>
            <w:r>
              <w:rPr>
                <w:sz w:val="18"/>
                <w:szCs w:val="18"/>
              </w:rPr>
              <w:t>封样日期</w:t>
            </w:r>
          </w:p>
        </w:tc>
        <w:tc>
          <w:tcPr>
            <w:tcW w:w="1278" w:type="dxa"/>
            <w:tcBorders>
              <w:top w:val="single" w:color="auto" w:sz="4" w:space="0"/>
              <w:left w:val="single" w:color="auto" w:sz="4" w:space="0"/>
              <w:bottom w:val="single" w:color="auto" w:sz="4" w:space="0"/>
              <w:right w:val="single" w:color="auto" w:sz="4" w:space="0"/>
            </w:tcBorders>
            <w:vAlign w:val="center"/>
          </w:tcPr>
          <w:p w14:paraId="3B4C4969">
            <w:pPr>
              <w:jc w:val="center"/>
              <w:rPr>
                <w:sz w:val="18"/>
                <w:szCs w:val="18"/>
              </w:rPr>
            </w:pPr>
          </w:p>
        </w:tc>
      </w:tr>
      <w:tr w14:paraId="769E0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017" w:type="dxa"/>
            <w:tcBorders>
              <w:top w:val="single" w:color="auto" w:sz="4" w:space="0"/>
              <w:left w:val="single" w:color="auto" w:sz="4" w:space="0"/>
              <w:bottom w:val="single" w:color="auto" w:sz="4" w:space="0"/>
              <w:right w:val="single" w:color="auto" w:sz="4" w:space="0"/>
            </w:tcBorders>
            <w:vAlign w:val="center"/>
          </w:tcPr>
          <w:p w14:paraId="4F6588C3">
            <w:pPr>
              <w:jc w:val="center"/>
              <w:rPr>
                <w:sz w:val="18"/>
                <w:szCs w:val="18"/>
              </w:rPr>
            </w:pPr>
            <w:r>
              <w:rPr>
                <w:sz w:val="18"/>
                <w:szCs w:val="18"/>
              </w:rPr>
              <w:t>样品名称</w:t>
            </w:r>
          </w:p>
        </w:tc>
        <w:tc>
          <w:tcPr>
            <w:tcW w:w="1055" w:type="dxa"/>
            <w:tcBorders>
              <w:top w:val="single" w:color="auto" w:sz="4" w:space="0"/>
              <w:left w:val="single" w:color="auto" w:sz="4" w:space="0"/>
              <w:bottom w:val="single" w:color="auto" w:sz="4" w:space="0"/>
              <w:right w:val="single" w:color="auto" w:sz="4" w:space="0"/>
            </w:tcBorders>
            <w:vAlign w:val="center"/>
          </w:tcPr>
          <w:p w14:paraId="73452EF2">
            <w:pPr>
              <w:jc w:val="center"/>
              <w:rPr>
                <w:sz w:val="18"/>
                <w:szCs w:val="18"/>
              </w:rPr>
            </w:pPr>
            <w:r>
              <w:rPr>
                <w:sz w:val="18"/>
                <w:szCs w:val="18"/>
              </w:rPr>
              <w:t>型号</w:t>
            </w:r>
          </w:p>
        </w:tc>
        <w:tc>
          <w:tcPr>
            <w:tcW w:w="1352" w:type="dxa"/>
            <w:tcBorders>
              <w:top w:val="single" w:color="auto" w:sz="4" w:space="0"/>
              <w:left w:val="single" w:color="auto" w:sz="4" w:space="0"/>
              <w:bottom w:val="single" w:color="auto" w:sz="4" w:space="0"/>
              <w:right w:val="single" w:color="auto" w:sz="4" w:space="0"/>
            </w:tcBorders>
            <w:vAlign w:val="center"/>
          </w:tcPr>
          <w:p w14:paraId="3FB63A6B">
            <w:pPr>
              <w:jc w:val="center"/>
              <w:rPr>
                <w:sz w:val="18"/>
                <w:szCs w:val="18"/>
              </w:rPr>
            </w:pPr>
            <w:r>
              <w:rPr>
                <w:sz w:val="18"/>
                <w:szCs w:val="18"/>
              </w:rPr>
              <w:t>规格</w:t>
            </w:r>
          </w:p>
        </w:tc>
        <w:tc>
          <w:tcPr>
            <w:tcW w:w="1493" w:type="dxa"/>
            <w:tcBorders>
              <w:top w:val="single" w:color="auto" w:sz="4" w:space="0"/>
              <w:left w:val="single" w:color="auto" w:sz="4" w:space="0"/>
              <w:bottom w:val="single" w:color="auto" w:sz="4" w:space="0"/>
              <w:right w:val="single" w:color="auto" w:sz="4" w:space="0"/>
            </w:tcBorders>
            <w:vAlign w:val="center"/>
          </w:tcPr>
          <w:p w14:paraId="0FAE227A">
            <w:pPr>
              <w:jc w:val="center"/>
              <w:rPr>
                <w:sz w:val="18"/>
                <w:szCs w:val="18"/>
              </w:rPr>
            </w:pPr>
            <w:r>
              <w:rPr>
                <w:sz w:val="18"/>
                <w:szCs w:val="18"/>
              </w:rPr>
              <w:t>厂家/品牌</w:t>
            </w:r>
          </w:p>
        </w:tc>
        <w:tc>
          <w:tcPr>
            <w:tcW w:w="1200" w:type="dxa"/>
            <w:tcBorders>
              <w:top w:val="single" w:color="auto" w:sz="4" w:space="0"/>
              <w:left w:val="single" w:color="auto" w:sz="4" w:space="0"/>
              <w:bottom w:val="single" w:color="auto" w:sz="4" w:space="0"/>
              <w:right w:val="single" w:color="auto" w:sz="4" w:space="0"/>
            </w:tcBorders>
            <w:vAlign w:val="center"/>
          </w:tcPr>
          <w:p w14:paraId="40BCBB47">
            <w:pPr>
              <w:jc w:val="center"/>
              <w:rPr>
                <w:sz w:val="18"/>
                <w:szCs w:val="18"/>
              </w:rPr>
            </w:pPr>
            <w:r>
              <w:rPr>
                <w:sz w:val="18"/>
                <w:szCs w:val="18"/>
              </w:rPr>
              <w:t>产地</w:t>
            </w:r>
          </w:p>
        </w:tc>
        <w:tc>
          <w:tcPr>
            <w:tcW w:w="1960" w:type="dxa"/>
            <w:tcBorders>
              <w:top w:val="single" w:color="auto" w:sz="4" w:space="0"/>
              <w:left w:val="single" w:color="auto" w:sz="4" w:space="0"/>
              <w:bottom w:val="single" w:color="auto" w:sz="4" w:space="0"/>
              <w:right w:val="single" w:color="auto" w:sz="4" w:space="0"/>
            </w:tcBorders>
            <w:vAlign w:val="center"/>
          </w:tcPr>
          <w:p w14:paraId="2A5FD938">
            <w:pPr>
              <w:jc w:val="center"/>
              <w:rPr>
                <w:sz w:val="18"/>
                <w:szCs w:val="18"/>
              </w:rPr>
            </w:pPr>
            <w:r>
              <w:rPr>
                <w:sz w:val="18"/>
                <w:szCs w:val="18"/>
              </w:rPr>
              <w:t>使用部位</w:t>
            </w:r>
          </w:p>
        </w:tc>
        <w:tc>
          <w:tcPr>
            <w:tcW w:w="1278" w:type="dxa"/>
            <w:tcBorders>
              <w:top w:val="single" w:color="auto" w:sz="4" w:space="0"/>
              <w:left w:val="single" w:color="auto" w:sz="4" w:space="0"/>
              <w:bottom w:val="single" w:color="auto" w:sz="4" w:space="0"/>
              <w:right w:val="single" w:color="auto" w:sz="4" w:space="0"/>
            </w:tcBorders>
            <w:vAlign w:val="center"/>
          </w:tcPr>
          <w:p w14:paraId="546FA47E">
            <w:pPr>
              <w:jc w:val="center"/>
              <w:rPr>
                <w:sz w:val="18"/>
                <w:szCs w:val="18"/>
              </w:rPr>
            </w:pPr>
            <w:r>
              <w:rPr>
                <w:sz w:val="18"/>
                <w:szCs w:val="18"/>
              </w:rPr>
              <w:t>备注</w:t>
            </w:r>
          </w:p>
        </w:tc>
      </w:tr>
      <w:tr w14:paraId="05285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017" w:type="dxa"/>
            <w:tcBorders>
              <w:top w:val="single" w:color="auto" w:sz="4" w:space="0"/>
              <w:left w:val="single" w:color="auto" w:sz="4" w:space="0"/>
              <w:bottom w:val="single" w:color="auto" w:sz="4" w:space="0"/>
              <w:right w:val="single" w:color="auto" w:sz="4" w:space="0"/>
            </w:tcBorders>
            <w:vAlign w:val="center"/>
          </w:tcPr>
          <w:p w14:paraId="576503B4">
            <w:pPr>
              <w:jc w:val="center"/>
              <w:rPr>
                <w:sz w:val="18"/>
                <w:szCs w:val="18"/>
              </w:rPr>
            </w:pPr>
          </w:p>
        </w:tc>
        <w:tc>
          <w:tcPr>
            <w:tcW w:w="1055" w:type="dxa"/>
            <w:tcBorders>
              <w:top w:val="single" w:color="auto" w:sz="4" w:space="0"/>
              <w:left w:val="single" w:color="auto" w:sz="4" w:space="0"/>
              <w:bottom w:val="single" w:color="auto" w:sz="4" w:space="0"/>
              <w:right w:val="single" w:color="auto" w:sz="4" w:space="0"/>
            </w:tcBorders>
            <w:vAlign w:val="center"/>
          </w:tcPr>
          <w:p w14:paraId="07FCF326">
            <w:pPr>
              <w:jc w:val="center"/>
              <w:rPr>
                <w:sz w:val="18"/>
                <w:szCs w:val="18"/>
              </w:rPr>
            </w:pPr>
          </w:p>
        </w:tc>
        <w:tc>
          <w:tcPr>
            <w:tcW w:w="1352" w:type="dxa"/>
            <w:tcBorders>
              <w:top w:val="single" w:color="auto" w:sz="4" w:space="0"/>
              <w:left w:val="single" w:color="auto" w:sz="4" w:space="0"/>
              <w:bottom w:val="single" w:color="auto" w:sz="4" w:space="0"/>
              <w:right w:val="single" w:color="auto" w:sz="4" w:space="0"/>
            </w:tcBorders>
            <w:vAlign w:val="center"/>
          </w:tcPr>
          <w:p w14:paraId="3A8BA48D">
            <w:pPr>
              <w:jc w:val="center"/>
              <w:rPr>
                <w:sz w:val="18"/>
                <w:szCs w:val="18"/>
              </w:rPr>
            </w:pPr>
          </w:p>
        </w:tc>
        <w:tc>
          <w:tcPr>
            <w:tcW w:w="1493" w:type="dxa"/>
            <w:tcBorders>
              <w:top w:val="single" w:color="auto" w:sz="4" w:space="0"/>
              <w:left w:val="single" w:color="auto" w:sz="4" w:space="0"/>
              <w:bottom w:val="single" w:color="auto" w:sz="4" w:space="0"/>
              <w:right w:val="single" w:color="auto" w:sz="4" w:space="0"/>
            </w:tcBorders>
            <w:vAlign w:val="center"/>
          </w:tcPr>
          <w:p w14:paraId="4DDB0E5C">
            <w:pPr>
              <w:jc w:val="center"/>
              <w:rPr>
                <w:sz w:val="18"/>
                <w:szCs w:val="18"/>
              </w:rPr>
            </w:pPr>
          </w:p>
        </w:tc>
        <w:tc>
          <w:tcPr>
            <w:tcW w:w="1200" w:type="dxa"/>
            <w:tcBorders>
              <w:top w:val="single" w:color="auto" w:sz="4" w:space="0"/>
              <w:left w:val="single" w:color="auto" w:sz="4" w:space="0"/>
              <w:bottom w:val="single" w:color="auto" w:sz="4" w:space="0"/>
              <w:right w:val="single" w:color="auto" w:sz="4" w:space="0"/>
            </w:tcBorders>
            <w:vAlign w:val="center"/>
          </w:tcPr>
          <w:p w14:paraId="0DF90909">
            <w:pPr>
              <w:jc w:val="center"/>
              <w:rPr>
                <w:sz w:val="18"/>
                <w:szCs w:val="18"/>
              </w:rPr>
            </w:pPr>
          </w:p>
        </w:tc>
        <w:tc>
          <w:tcPr>
            <w:tcW w:w="1960" w:type="dxa"/>
            <w:tcBorders>
              <w:top w:val="single" w:color="auto" w:sz="4" w:space="0"/>
              <w:left w:val="single" w:color="auto" w:sz="4" w:space="0"/>
              <w:bottom w:val="single" w:color="auto" w:sz="4" w:space="0"/>
              <w:right w:val="single" w:color="auto" w:sz="4" w:space="0"/>
            </w:tcBorders>
            <w:vAlign w:val="center"/>
          </w:tcPr>
          <w:p w14:paraId="3BBD8DCC">
            <w:pPr>
              <w:jc w:val="center"/>
              <w:rPr>
                <w:sz w:val="18"/>
                <w:szCs w:val="18"/>
              </w:rPr>
            </w:pPr>
          </w:p>
        </w:tc>
        <w:tc>
          <w:tcPr>
            <w:tcW w:w="1278" w:type="dxa"/>
            <w:tcBorders>
              <w:top w:val="single" w:color="auto" w:sz="4" w:space="0"/>
              <w:left w:val="single" w:color="auto" w:sz="4" w:space="0"/>
              <w:bottom w:val="single" w:color="auto" w:sz="4" w:space="0"/>
              <w:right w:val="single" w:color="auto" w:sz="4" w:space="0"/>
            </w:tcBorders>
            <w:vAlign w:val="center"/>
          </w:tcPr>
          <w:p w14:paraId="57E0A769">
            <w:pPr>
              <w:jc w:val="center"/>
              <w:rPr>
                <w:sz w:val="18"/>
                <w:szCs w:val="18"/>
              </w:rPr>
            </w:pPr>
          </w:p>
        </w:tc>
      </w:tr>
      <w:tr w14:paraId="127B4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017" w:type="dxa"/>
            <w:vMerge w:val="restart"/>
            <w:tcBorders>
              <w:top w:val="single" w:color="auto" w:sz="4" w:space="0"/>
              <w:left w:val="single" w:color="auto" w:sz="4" w:space="0"/>
              <w:bottom w:val="single" w:color="auto" w:sz="4" w:space="0"/>
              <w:right w:val="single" w:color="auto" w:sz="4" w:space="0"/>
            </w:tcBorders>
            <w:vAlign w:val="center"/>
          </w:tcPr>
          <w:p w14:paraId="6CD4EC07">
            <w:pPr>
              <w:jc w:val="center"/>
              <w:rPr>
                <w:sz w:val="18"/>
                <w:szCs w:val="18"/>
              </w:rPr>
            </w:pPr>
            <w:r>
              <w:rPr>
                <w:sz w:val="18"/>
                <w:szCs w:val="18"/>
              </w:rPr>
              <w:t>建设单位</w:t>
            </w:r>
          </w:p>
          <w:p w14:paraId="3537D8D4">
            <w:pPr>
              <w:jc w:val="center"/>
              <w:rPr>
                <w:sz w:val="18"/>
                <w:szCs w:val="18"/>
              </w:rPr>
            </w:pPr>
            <w:r>
              <w:rPr>
                <w:sz w:val="18"/>
                <w:szCs w:val="18"/>
              </w:rPr>
              <w:t>签字</w:t>
            </w:r>
          </w:p>
        </w:tc>
        <w:tc>
          <w:tcPr>
            <w:tcW w:w="3900" w:type="dxa"/>
            <w:gridSpan w:val="3"/>
            <w:tcBorders>
              <w:top w:val="single" w:color="auto" w:sz="4" w:space="0"/>
              <w:left w:val="single" w:color="auto" w:sz="4" w:space="0"/>
              <w:bottom w:val="single" w:color="auto" w:sz="4" w:space="0"/>
              <w:right w:val="single" w:color="auto" w:sz="4" w:space="0"/>
            </w:tcBorders>
            <w:vAlign w:val="center"/>
          </w:tcPr>
          <w:p w14:paraId="59E0180A">
            <w:pPr>
              <w:jc w:val="left"/>
              <w:rPr>
                <w:sz w:val="18"/>
                <w:szCs w:val="18"/>
              </w:rPr>
            </w:pPr>
            <w:r>
              <w:rPr>
                <w:sz w:val="18"/>
                <w:szCs w:val="18"/>
              </w:rPr>
              <w:t>设计部：</w:t>
            </w:r>
          </w:p>
        </w:tc>
        <w:tc>
          <w:tcPr>
            <w:tcW w:w="4438" w:type="dxa"/>
            <w:gridSpan w:val="3"/>
            <w:vMerge w:val="restart"/>
            <w:tcBorders>
              <w:top w:val="single" w:color="auto" w:sz="4" w:space="0"/>
              <w:left w:val="single" w:color="auto" w:sz="4" w:space="0"/>
              <w:bottom w:val="single" w:color="auto" w:sz="4" w:space="0"/>
              <w:right w:val="single" w:color="auto" w:sz="4" w:space="0"/>
            </w:tcBorders>
            <w:vAlign w:val="center"/>
          </w:tcPr>
          <w:p w14:paraId="43299816">
            <w:pPr>
              <w:spacing w:line="360" w:lineRule="auto"/>
              <w:rPr>
                <w:sz w:val="18"/>
                <w:szCs w:val="18"/>
              </w:rPr>
            </w:pPr>
            <w:r>
              <w:rPr>
                <w:sz w:val="18"/>
                <w:szCs w:val="18"/>
              </w:rPr>
              <w:t xml:space="preserve">送样单位签字（盖章）： </w:t>
            </w:r>
          </w:p>
        </w:tc>
      </w:tr>
      <w:tr w14:paraId="72A1C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017" w:type="dxa"/>
            <w:vMerge w:val="continue"/>
            <w:tcBorders>
              <w:top w:val="single" w:color="auto" w:sz="4" w:space="0"/>
            </w:tcBorders>
          </w:tcPr>
          <w:p w14:paraId="4F5ED76D">
            <w:pPr>
              <w:rPr>
                <w:sz w:val="15"/>
                <w:szCs w:val="15"/>
              </w:rPr>
            </w:pPr>
          </w:p>
        </w:tc>
        <w:tc>
          <w:tcPr>
            <w:tcW w:w="3900" w:type="dxa"/>
            <w:gridSpan w:val="3"/>
            <w:tcBorders>
              <w:top w:val="single" w:color="auto" w:sz="4" w:space="0"/>
            </w:tcBorders>
            <w:vAlign w:val="center"/>
          </w:tcPr>
          <w:p w14:paraId="08CD0696">
            <w:pPr>
              <w:jc w:val="left"/>
              <w:rPr>
                <w:sz w:val="18"/>
                <w:szCs w:val="18"/>
              </w:rPr>
            </w:pPr>
            <w:r>
              <w:rPr>
                <w:sz w:val="18"/>
                <w:szCs w:val="18"/>
              </w:rPr>
              <w:t>工程部/项目部：</w:t>
            </w:r>
          </w:p>
        </w:tc>
        <w:tc>
          <w:tcPr>
            <w:tcW w:w="4438" w:type="dxa"/>
            <w:gridSpan w:val="3"/>
            <w:vMerge w:val="continue"/>
            <w:tcBorders>
              <w:top w:val="single" w:color="auto" w:sz="4" w:space="0"/>
            </w:tcBorders>
          </w:tcPr>
          <w:p w14:paraId="5538B2ED">
            <w:pPr>
              <w:rPr>
                <w:b/>
                <w:sz w:val="18"/>
                <w:szCs w:val="18"/>
              </w:rPr>
            </w:pPr>
          </w:p>
        </w:tc>
      </w:tr>
      <w:tr w14:paraId="5DEEB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017" w:type="dxa"/>
            <w:vMerge w:val="continue"/>
          </w:tcPr>
          <w:p w14:paraId="282E23B5">
            <w:pPr>
              <w:rPr>
                <w:sz w:val="15"/>
                <w:szCs w:val="15"/>
              </w:rPr>
            </w:pPr>
          </w:p>
        </w:tc>
        <w:tc>
          <w:tcPr>
            <w:tcW w:w="3900" w:type="dxa"/>
            <w:gridSpan w:val="3"/>
            <w:vAlign w:val="center"/>
          </w:tcPr>
          <w:p w14:paraId="67C330EB">
            <w:pPr>
              <w:jc w:val="left"/>
              <w:rPr>
                <w:sz w:val="18"/>
                <w:szCs w:val="18"/>
              </w:rPr>
            </w:pPr>
            <w:r>
              <w:rPr>
                <w:sz w:val="18"/>
                <w:szCs w:val="18"/>
              </w:rPr>
              <w:t>合约采购部：</w:t>
            </w:r>
          </w:p>
        </w:tc>
        <w:tc>
          <w:tcPr>
            <w:tcW w:w="4438" w:type="dxa"/>
            <w:gridSpan w:val="3"/>
            <w:vMerge w:val="continue"/>
          </w:tcPr>
          <w:p w14:paraId="3BD9670F">
            <w:pPr>
              <w:rPr>
                <w:b/>
                <w:sz w:val="18"/>
                <w:szCs w:val="18"/>
              </w:rPr>
            </w:pPr>
          </w:p>
        </w:tc>
      </w:tr>
    </w:tbl>
    <w:p w14:paraId="59DD7A30">
      <w:pPr>
        <w:autoSpaceDE w:val="0"/>
        <w:autoSpaceDN w:val="0"/>
        <w:adjustRightInd w:val="0"/>
        <w:spacing w:line="400" w:lineRule="exact"/>
        <w:ind w:left="420" w:leftChars="200"/>
        <w:jc w:val="left"/>
        <w:rPr>
          <w:color w:val="000000"/>
          <w:szCs w:val="21"/>
        </w:rPr>
      </w:pPr>
    </w:p>
    <w:p w14:paraId="539739ED">
      <w:pPr>
        <w:autoSpaceDE w:val="0"/>
        <w:autoSpaceDN w:val="0"/>
        <w:adjustRightInd w:val="0"/>
        <w:spacing w:line="360" w:lineRule="auto"/>
        <w:ind w:left="1050" w:leftChars="200" w:hanging="630" w:hangingChars="300"/>
        <w:jc w:val="left"/>
        <w:rPr>
          <w:szCs w:val="21"/>
        </w:rPr>
      </w:pPr>
      <w:r>
        <w:rPr>
          <w:szCs w:val="21"/>
        </w:rPr>
        <w:t>10.6.2 投标样品送样明细</w:t>
      </w:r>
    </w:p>
    <w:p w14:paraId="788CAB7D">
      <w:pPr>
        <w:autoSpaceDE w:val="0"/>
        <w:autoSpaceDN w:val="0"/>
        <w:adjustRightInd w:val="0"/>
        <w:spacing w:line="400" w:lineRule="exact"/>
        <w:ind w:left="420" w:leftChars="200"/>
        <w:jc w:val="center"/>
        <w:rPr>
          <w:b/>
          <w:color w:val="000000"/>
          <w:sz w:val="24"/>
        </w:rPr>
      </w:pPr>
      <w:r>
        <w:rPr>
          <w:b/>
          <w:color w:val="000000"/>
          <w:sz w:val="24"/>
        </w:rPr>
        <w:t>投标样品送样明细表</w:t>
      </w:r>
    </w:p>
    <w:tbl>
      <w:tblPr>
        <w:tblStyle w:val="8"/>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9"/>
        <w:gridCol w:w="2224"/>
        <w:gridCol w:w="2224"/>
        <w:gridCol w:w="2916"/>
        <w:gridCol w:w="1117"/>
      </w:tblGrid>
      <w:tr w14:paraId="78B2F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50" w:type="dxa"/>
            <w:shd w:val="clear" w:color="auto" w:fill="auto"/>
          </w:tcPr>
          <w:p w14:paraId="78D36490">
            <w:pPr>
              <w:autoSpaceDE w:val="0"/>
              <w:autoSpaceDN w:val="0"/>
              <w:adjustRightInd w:val="0"/>
              <w:spacing w:line="400" w:lineRule="exact"/>
              <w:jc w:val="center"/>
              <w:rPr>
                <w:b/>
                <w:szCs w:val="21"/>
              </w:rPr>
            </w:pPr>
            <w:r>
              <w:rPr>
                <w:b/>
                <w:szCs w:val="21"/>
              </w:rPr>
              <w:t>序号</w:t>
            </w:r>
          </w:p>
        </w:tc>
        <w:tc>
          <w:tcPr>
            <w:tcW w:w="2268" w:type="dxa"/>
            <w:shd w:val="clear" w:color="auto" w:fill="auto"/>
          </w:tcPr>
          <w:p w14:paraId="2AD6FFCD">
            <w:pPr>
              <w:autoSpaceDE w:val="0"/>
              <w:autoSpaceDN w:val="0"/>
              <w:adjustRightInd w:val="0"/>
              <w:spacing w:line="400" w:lineRule="exact"/>
              <w:jc w:val="center"/>
              <w:rPr>
                <w:b/>
                <w:szCs w:val="21"/>
              </w:rPr>
            </w:pPr>
            <w:r>
              <w:rPr>
                <w:b/>
                <w:szCs w:val="21"/>
              </w:rPr>
              <w:t>送样材料名称</w:t>
            </w:r>
          </w:p>
        </w:tc>
        <w:tc>
          <w:tcPr>
            <w:tcW w:w="2268" w:type="dxa"/>
            <w:shd w:val="clear" w:color="auto" w:fill="auto"/>
          </w:tcPr>
          <w:p w14:paraId="0BF218C0">
            <w:pPr>
              <w:autoSpaceDE w:val="0"/>
              <w:autoSpaceDN w:val="0"/>
              <w:adjustRightInd w:val="0"/>
              <w:spacing w:line="400" w:lineRule="exact"/>
              <w:jc w:val="center"/>
              <w:rPr>
                <w:b/>
                <w:szCs w:val="21"/>
              </w:rPr>
            </w:pPr>
            <w:r>
              <w:rPr>
                <w:b/>
                <w:szCs w:val="21"/>
              </w:rPr>
              <w:t>样品规格</w:t>
            </w:r>
          </w:p>
        </w:tc>
        <w:tc>
          <w:tcPr>
            <w:tcW w:w="2977" w:type="dxa"/>
            <w:shd w:val="clear" w:color="auto" w:fill="auto"/>
          </w:tcPr>
          <w:p w14:paraId="763366E5">
            <w:pPr>
              <w:autoSpaceDE w:val="0"/>
              <w:autoSpaceDN w:val="0"/>
              <w:adjustRightInd w:val="0"/>
              <w:spacing w:line="400" w:lineRule="exact"/>
              <w:jc w:val="center"/>
              <w:rPr>
                <w:b/>
                <w:szCs w:val="21"/>
              </w:rPr>
            </w:pPr>
            <w:r>
              <w:rPr>
                <w:b/>
                <w:szCs w:val="21"/>
              </w:rPr>
              <w:t>使用部位</w:t>
            </w:r>
          </w:p>
        </w:tc>
        <w:tc>
          <w:tcPr>
            <w:tcW w:w="1134" w:type="dxa"/>
            <w:shd w:val="clear" w:color="auto" w:fill="auto"/>
          </w:tcPr>
          <w:p w14:paraId="1D1CFAC3">
            <w:pPr>
              <w:autoSpaceDE w:val="0"/>
              <w:autoSpaceDN w:val="0"/>
              <w:adjustRightInd w:val="0"/>
              <w:spacing w:line="400" w:lineRule="exact"/>
              <w:jc w:val="center"/>
              <w:rPr>
                <w:b/>
                <w:szCs w:val="21"/>
              </w:rPr>
            </w:pPr>
            <w:r>
              <w:rPr>
                <w:b/>
                <w:szCs w:val="21"/>
              </w:rPr>
              <w:t>备注</w:t>
            </w:r>
          </w:p>
        </w:tc>
      </w:tr>
      <w:tr w14:paraId="30C16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50" w:type="dxa"/>
            <w:shd w:val="clear" w:color="auto" w:fill="auto"/>
          </w:tcPr>
          <w:p w14:paraId="63701C4F">
            <w:pPr>
              <w:autoSpaceDE w:val="0"/>
              <w:autoSpaceDN w:val="0"/>
              <w:adjustRightInd w:val="0"/>
              <w:spacing w:line="400" w:lineRule="exact"/>
              <w:jc w:val="left"/>
              <w:rPr>
                <w:color w:val="0000FF"/>
                <w:szCs w:val="21"/>
              </w:rPr>
            </w:pPr>
          </w:p>
        </w:tc>
        <w:tc>
          <w:tcPr>
            <w:tcW w:w="2268" w:type="dxa"/>
            <w:shd w:val="clear" w:color="auto" w:fill="auto"/>
          </w:tcPr>
          <w:p w14:paraId="6C8045E9">
            <w:pPr>
              <w:autoSpaceDE w:val="0"/>
              <w:autoSpaceDN w:val="0"/>
              <w:adjustRightInd w:val="0"/>
              <w:spacing w:line="400" w:lineRule="exact"/>
              <w:jc w:val="left"/>
              <w:rPr>
                <w:color w:val="0000FF"/>
                <w:szCs w:val="21"/>
              </w:rPr>
            </w:pPr>
          </w:p>
        </w:tc>
        <w:tc>
          <w:tcPr>
            <w:tcW w:w="2268" w:type="dxa"/>
            <w:shd w:val="clear" w:color="auto" w:fill="auto"/>
          </w:tcPr>
          <w:p w14:paraId="056E04F1">
            <w:pPr>
              <w:autoSpaceDE w:val="0"/>
              <w:autoSpaceDN w:val="0"/>
              <w:adjustRightInd w:val="0"/>
              <w:spacing w:line="400" w:lineRule="exact"/>
              <w:jc w:val="left"/>
              <w:rPr>
                <w:color w:val="0000FF"/>
                <w:szCs w:val="21"/>
              </w:rPr>
            </w:pPr>
          </w:p>
        </w:tc>
        <w:tc>
          <w:tcPr>
            <w:tcW w:w="2977" w:type="dxa"/>
            <w:shd w:val="clear" w:color="auto" w:fill="auto"/>
          </w:tcPr>
          <w:p w14:paraId="0724BCB5">
            <w:pPr>
              <w:autoSpaceDE w:val="0"/>
              <w:autoSpaceDN w:val="0"/>
              <w:adjustRightInd w:val="0"/>
              <w:spacing w:line="400" w:lineRule="exact"/>
              <w:jc w:val="left"/>
              <w:rPr>
                <w:color w:val="0000FF"/>
                <w:szCs w:val="21"/>
              </w:rPr>
            </w:pPr>
          </w:p>
        </w:tc>
        <w:tc>
          <w:tcPr>
            <w:tcW w:w="1134" w:type="dxa"/>
            <w:shd w:val="clear" w:color="auto" w:fill="auto"/>
          </w:tcPr>
          <w:p w14:paraId="3E63B300">
            <w:pPr>
              <w:autoSpaceDE w:val="0"/>
              <w:autoSpaceDN w:val="0"/>
              <w:adjustRightInd w:val="0"/>
              <w:spacing w:line="400" w:lineRule="exact"/>
              <w:jc w:val="left"/>
              <w:rPr>
                <w:color w:val="0000FF"/>
                <w:szCs w:val="21"/>
              </w:rPr>
            </w:pPr>
          </w:p>
        </w:tc>
      </w:tr>
      <w:tr w14:paraId="1153C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50" w:type="dxa"/>
            <w:shd w:val="clear" w:color="auto" w:fill="auto"/>
          </w:tcPr>
          <w:p w14:paraId="009866C1">
            <w:pPr>
              <w:autoSpaceDE w:val="0"/>
              <w:autoSpaceDN w:val="0"/>
              <w:adjustRightInd w:val="0"/>
              <w:spacing w:line="400" w:lineRule="exact"/>
              <w:jc w:val="left"/>
              <w:rPr>
                <w:color w:val="0000FF"/>
                <w:szCs w:val="21"/>
              </w:rPr>
            </w:pPr>
          </w:p>
        </w:tc>
        <w:tc>
          <w:tcPr>
            <w:tcW w:w="2268" w:type="dxa"/>
            <w:shd w:val="clear" w:color="auto" w:fill="auto"/>
          </w:tcPr>
          <w:p w14:paraId="53833E3C">
            <w:pPr>
              <w:autoSpaceDE w:val="0"/>
              <w:autoSpaceDN w:val="0"/>
              <w:adjustRightInd w:val="0"/>
              <w:spacing w:line="400" w:lineRule="exact"/>
              <w:jc w:val="left"/>
              <w:rPr>
                <w:color w:val="0000FF"/>
                <w:szCs w:val="21"/>
              </w:rPr>
            </w:pPr>
          </w:p>
        </w:tc>
        <w:tc>
          <w:tcPr>
            <w:tcW w:w="2268" w:type="dxa"/>
            <w:shd w:val="clear" w:color="auto" w:fill="auto"/>
          </w:tcPr>
          <w:p w14:paraId="6B9C8E33">
            <w:pPr>
              <w:autoSpaceDE w:val="0"/>
              <w:autoSpaceDN w:val="0"/>
              <w:adjustRightInd w:val="0"/>
              <w:spacing w:line="400" w:lineRule="exact"/>
              <w:jc w:val="left"/>
              <w:rPr>
                <w:color w:val="0000FF"/>
                <w:szCs w:val="21"/>
              </w:rPr>
            </w:pPr>
          </w:p>
        </w:tc>
        <w:tc>
          <w:tcPr>
            <w:tcW w:w="2977" w:type="dxa"/>
            <w:shd w:val="clear" w:color="auto" w:fill="auto"/>
          </w:tcPr>
          <w:p w14:paraId="5B13189E">
            <w:pPr>
              <w:autoSpaceDE w:val="0"/>
              <w:autoSpaceDN w:val="0"/>
              <w:adjustRightInd w:val="0"/>
              <w:spacing w:line="400" w:lineRule="exact"/>
              <w:jc w:val="left"/>
              <w:rPr>
                <w:color w:val="0000FF"/>
                <w:szCs w:val="21"/>
              </w:rPr>
            </w:pPr>
          </w:p>
        </w:tc>
        <w:tc>
          <w:tcPr>
            <w:tcW w:w="1134" w:type="dxa"/>
            <w:shd w:val="clear" w:color="auto" w:fill="auto"/>
          </w:tcPr>
          <w:p w14:paraId="5D4AEED1">
            <w:pPr>
              <w:autoSpaceDE w:val="0"/>
              <w:autoSpaceDN w:val="0"/>
              <w:adjustRightInd w:val="0"/>
              <w:spacing w:line="400" w:lineRule="exact"/>
              <w:jc w:val="left"/>
              <w:rPr>
                <w:color w:val="0000FF"/>
                <w:szCs w:val="21"/>
              </w:rPr>
            </w:pPr>
          </w:p>
        </w:tc>
      </w:tr>
      <w:tr w14:paraId="6BECA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50" w:type="dxa"/>
            <w:shd w:val="clear" w:color="auto" w:fill="auto"/>
          </w:tcPr>
          <w:p w14:paraId="12B80654">
            <w:pPr>
              <w:autoSpaceDE w:val="0"/>
              <w:autoSpaceDN w:val="0"/>
              <w:adjustRightInd w:val="0"/>
              <w:spacing w:line="400" w:lineRule="exact"/>
              <w:jc w:val="left"/>
              <w:rPr>
                <w:color w:val="0000FF"/>
                <w:szCs w:val="21"/>
              </w:rPr>
            </w:pPr>
          </w:p>
        </w:tc>
        <w:tc>
          <w:tcPr>
            <w:tcW w:w="2268" w:type="dxa"/>
            <w:shd w:val="clear" w:color="auto" w:fill="auto"/>
          </w:tcPr>
          <w:p w14:paraId="00BBD3DA">
            <w:pPr>
              <w:autoSpaceDE w:val="0"/>
              <w:autoSpaceDN w:val="0"/>
              <w:adjustRightInd w:val="0"/>
              <w:spacing w:line="400" w:lineRule="exact"/>
              <w:jc w:val="left"/>
              <w:rPr>
                <w:color w:val="0000FF"/>
                <w:szCs w:val="21"/>
              </w:rPr>
            </w:pPr>
          </w:p>
        </w:tc>
        <w:tc>
          <w:tcPr>
            <w:tcW w:w="2268" w:type="dxa"/>
            <w:shd w:val="clear" w:color="auto" w:fill="auto"/>
          </w:tcPr>
          <w:p w14:paraId="1F100418">
            <w:pPr>
              <w:autoSpaceDE w:val="0"/>
              <w:autoSpaceDN w:val="0"/>
              <w:adjustRightInd w:val="0"/>
              <w:spacing w:line="400" w:lineRule="exact"/>
              <w:jc w:val="left"/>
              <w:rPr>
                <w:color w:val="0000FF"/>
                <w:szCs w:val="21"/>
              </w:rPr>
            </w:pPr>
          </w:p>
        </w:tc>
        <w:tc>
          <w:tcPr>
            <w:tcW w:w="2977" w:type="dxa"/>
            <w:shd w:val="clear" w:color="auto" w:fill="auto"/>
          </w:tcPr>
          <w:p w14:paraId="628B50AA">
            <w:pPr>
              <w:autoSpaceDE w:val="0"/>
              <w:autoSpaceDN w:val="0"/>
              <w:adjustRightInd w:val="0"/>
              <w:spacing w:line="400" w:lineRule="exact"/>
              <w:jc w:val="left"/>
              <w:rPr>
                <w:color w:val="0000FF"/>
                <w:szCs w:val="21"/>
              </w:rPr>
            </w:pPr>
          </w:p>
        </w:tc>
        <w:tc>
          <w:tcPr>
            <w:tcW w:w="1134" w:type="dxa"/>
            <w:shd w:val="clear" w:color="auto" w:fill="auto"/>
          </w:tcPr>
          <w:p w14:paraId="5DDE21B9">
            <w:pPr>
              <w:autoSpaceDE w:val="0"/>
              <w:autoSpaceDN w:val="0"/>
              <w:adjustRightInd w:val="0"/>
              <w:spacing w:line="400" w:lineRule="exact"/>
              <w:jc w:val="left"/>
              <w:rPr>
                <w:color w:val="0000FF"/>
                <w:szCs w:val="21"/>
              </w:rPr>
            </w:pPr>
          </w:p>
        </w:tc>
      </w:tr>
      <w:tr w14:paraId="4A06C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50" w:type="dxa"/>
            <w:shd w:val="clear" w:color="auto" w:fill="auto"/>
          </w:tcPr>
          <w:p w14:paraId="62BBE865">
            <w:pPr>
              <w:autoSpaceDE w:val="0"/>
              <w:autoSpaceDN w:val="0"/>
              <w:adjustRightInd w:val="0"/>
              <w:spacing w:line="400" w:lineRule="exact"/>
              <w:jc w:val="left"/>
              <w:rPr>
                <w:color w:val="0000FF"/>
                <w:szCs w:val="21"/>
              </w:rPr>
            </w:pPr>
          </w:p>
        </w:tc>
        <w:tc>
          <w:tcPr>
            <w:tcW w:w="2268" w:type="dxa"/>
            <w:shd w:val="clear" w:color="auto" w:fill="auto"/>
          </w:tcPr>
          <w:p w14:paraId="673C5A9D">
            <w:pPr>
              <w:autoSpaceDE w:val="0"/>
              <w:autoSpaceDN w:val="0"/>
              <w:adjustRightInd w:val="0"/>
              <w:spacing w:line="400" w:lineRule="exact"/>
              <w:jc w:val="left"/>
              <w:rPr>
                <w:color w:val="0000FF"/>
                <w:szCs w:val="21"/>
              </w:rPr>
            </w:pPr>
          </w:p>
        </w:tc>
        <w:tc>
          <w:tcPr>
            <w:tcW w:w="2268" w:type="dxa"/>
            <w:shd w:val="clear" w:color="auto" w:fill="auto"/>
          </w:tcPr>
          <w:p w14:paraId="2F9F42F1">
            <w:pPr>
              <w:autoSpaceDE w:val="0"/>
              <w:autoSpaceDN w:val="0"/>
              <w:adjustRightInd w:val="0"/>
              <w:spacing w:line="400" w:lineRule="exact"/>
              <w:jc w:val="left"/>
              <w:rPr>
                <w:color w:val="0000FF"/>
                <w:szCs w:val="21"/>
              </w:rPr>
            </w:pPr>
          </w:p>
        </w:tc>
        <w:tc>
          <w:tcPr>
            <w:tcW w:w="2977" w:type="dxa"/>
            <w:shd w:val="clear" w:color="auto" w:fill="auto"/>
          </w:tcPr>
          <w:p w14:paraId="6DD5A590">
            <w:pPr>
              <w:autoSpaceDE w:val="0"/>
              <w:autoSpaceDN w:val="0"/>
              <w:adjustRightInd w:val="0"/>
              <w:spacing w:line="400" w:lineRule="exact"/>
              <w:jc w:val="left"/>
              <w:rPr>
                <w:color w:val="0000FF"/>
                <w:szCs w:val="21"/>
              </w:rPr>
            </w:pPr>
          </w:p>
        </w:tc>
        <w:tc>
          <w:tcPr>
            <w:tcW w:w="1134" w:type="dxa"/>
            <w:shd w:val="clear" w:color="auto" w:fill="auto"/>
          </w:tcPr>
          <w:p w14:paraId="5659B5B5">
            <w:pPr>
              <w:autoSpaceDE w:val="0"/>
              <w:autoSpaceDN w:val="0"/>
              <w:adjustRightInd w:val="0"/>
              <w:spacing w:line="400" w:lineRule="exact"/>
              <w:jc w:val="left"/>
              <w:rPr>
                <w:color w:val="0000FF"/>
                <w:szCs w:val="21"/>
              </w:rPr>
            </w:pPr>
          </w:p>
        </w:tc>
      </w:tr>
      <w:tr w14:paraId="60B19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50" w:type="dxa"/>
            <w:shd w:val="clear" w:color="auto" w:fill="auto"/>
          </w:tcPr>
          <w:p w14:paraId="746003F3">
            <w:pPr>
              <w:autoSpaceDE w:val="0"/>
              <w:autoSpaceDN w:val="0"/>
              <w:adjustRightInd w:val="0"/>
              <w:spacing w:line="400" w:lineRule="exact"/>
              <w:jc w:val="left"/>
              <w:rPr>
                <w:color w:val="0000FF"/>
                <w:szCs w:val="21"/>
              </w:rPr>
            </w:pPr>
          </w:p>
        </w:tc>
        <w:tc>
          <w:tcPr>
            <w:tcW w:w="2268" w:type="dxa"/>
            <w:shd w:val="clear" w:color="auto" w:fill="auto"/>
          </w:tcPr>
          <w:p w14:paraId="621FF096">
            <w:pPr>
              <w:autoSpaceDE w:val="0"/>
              <w:autoSpaceDN w:val="0"/>
              <w:adjustRightInd w:val="0"/>
              <w:spacing w:line="400" w:lineRule="exact"/>
              <w:jc w:val="left"/>
              <w:rPr>
                <w:color w:val="0000FF"/>
                <w:szCs w:val="21"/>
              </w:rPr>
            </w:pPr>
          </w:p>
        </w:tc>
        <w:tc>
          <w:tcPr>
            <w:tcW w:w="2268" w:type="dxa"/>
            <w:shd w:val="clear" w:color="auto" w:fill="auto"/>
          </w:tcPr>
          <w:p w14:paraId="2EF20500">
            <w:pPr>
              <w:autoSpaceDE w:val="0"/>
              <w:autoSpaceDN w:val="0"/>
              <w:adjustRightInd w:val="0"/>
              <w:spacing w:line="400" w:lineRule="exact"/>
              <w:jc w:val="left"/>
              <w:rPr>
                <w:color w:val="0000FF"/>
                <w:szCs w:val="21"/>
              </w:rPr>
            </w:pPr>
          </w:p>
        </w:tc>
        <w:tc>
          <w:tcPr>
            <w:tcW w:w="2977" w:type="dxa"/>
            <w:shd w:val="clear" w:color="auto" w:fill="auto"/>
          </w:tcPr>
          <w:p w14:paraId="3F9282C4">
            <w:pPr>
              <w:autoSpaceDE w:val="0"/>
              <w:autoSpaceDN w:val="0"/>
              <w:adjustRightInd w:val="0"/>
              <w:spacing w:line="400" w:lineRule="exact"/>
              <w:jc w:val="left"/>
              <w:rPr>
                <w:color w:val="0000FF"/>
                <w:szCs w:val="21"/>
              </w:rPr>
            </w:pPr>
          </w:p>
        </w:tc>
        <w:tc>
          <w:tcPr>
            <w:tcW w:w="1134" w:type="dxa"/>
            <w:shd w:val="clear" w:color="auto" w:fill="auto"/>
          </w:tcPr>
          <w:p w14:paraId="7A58087A">
            <w:pPr>
              <w:autoSpaceDE w:val="0"/>
              <w:autoSpaceDN w:val="0"/>
              <w:adjustRightInd w:val="0"/>
              <w:spacing w:line="400" w:lineRule="exact"/>
              <w:jc w:val="left"/>
              <w:rPr>
                <w:color w:val="0000FF"/>
                <w:szCs w:val="21"/>
              </w:rPr>
            </w:pPr>
          </w:p>
        </w:tc>
      </w:tr>
    </w:tbl>
    <w:p w14:paraId="200B57B9">
      <w:pPr>
        <w:autoSpaceDE w:val="0"/>
        <w:autoSpaceDN w:val="0"/>
        <w:adjustRightInd w:val="0"/>
        <w:spacing w:line="400" w:lineRule="exact"/>
        <w:ind w:left="420" w:leftChars="200"/>
        <w:jc w:val="left"/>
        <w:rPr>
          <w:szCs w:val="21"/>
        </w:rPr>
      </w:pPr>
      <w:r>
        <w:rPr>
          <w:szCs w:val="21"/>
        </w:rPr>
        <w:t>备注：样品的制作费用已包含在合同价款中。</w:t>
      </w:r>
    </w:p>
    <w:p w14:paraId="61128E62">
      <w:pPr>
        <w:pStyle w:val="16"/>
        <w:numPr>
          <w:ilvl w:val="0"/>
          <w:numId w:val="0"/>
        </w:numPr>
        <w:spacing w:before="156" w:beforeLines="50"/>
        <w:ind w:left="425" w:hanging="425"/>
        <w:rPr>
          <w:b/>
          <w:color w:val="000000"/>
          <w:sz w:val="21"/>
          <w:szCs w:val="21"/>
        </w:rPr>
      </w:pPr>
      <w:r>
        <w:rPr>
          <w:b/>
          <w:color w:val="000000"/>
          <w:sz w:val="21"/>
          <w:szCs w:val="21"/>
          <w:lang w:eastAsia="zh-CN"/>
        </w:rPr>
        <w:t>10.7</w:t>
      </w:r>
      <w:r>
        <w:rPr>
          <w:b/>
          <w:color w:val="000000"/>
          <w:sz w:val="21"/>
          <w:szCs w:val="21"/>
        </w:rPr>
        <w:t>甲指乙供材料设备</w:t>
      </w:r>
    </w:p>
    <w:p w14:paraId="30143A9A">
      <w:pPr>
        <w:pStyle w:val="16"/>
        <w:numPr>
          <w:ilvl w:val="0"/>
          <w:numId w:val="0"/>
        </w:numPr>
        <w:rPr>
          <w:sz w:val="21"/>
          <w:szCs w:val="21"/>
        </w:rPr>
      </w:pPr>
      <w:r>
        <w:rPr>
          <w:sz w:val="21"/>
          <w:szCs w:val="21"/>
          <w:lang w:eastAsia="zh-CN"/>
        </w:rPr>
        <w:t>10.7.1中标人需按照招标文件约定的付款方式、价格及其它约束条件与指定供应商</w:t>
      </w:r>
      <w:r>
        <w:rPr>
          <w:color w:val="000000"/>
          <w:sz w:val="21"/>
          <w:szCs w:val="21"/>
          <w:lang w:eastAsia="zh-CN"/>
        </w:rPr>
        <w:t>签订</w:t>
      </w:r>
      <w:r>
        <w:rPr>
          <w:sz w:val="21"/>
          <w:szCs w:val="21"/>
          <w:lang w:eastAsia="zh-CN"/>
        </w:rPr>
        <w:t>材料采购合同，不得强行压低供应商价款，并不得提出任何附加条件。</w:t>
      </w:r>
      <w:r>
        <w:rPr>
          <w:sz w:val="21"/>
          <w:szCs w:val="21"/>
        </w:rPr>
        <w:t xml:space="preserve"> </w:t>
      </w:r>
    </w:p>
    <w:p w14:paraId="0A2EB47D">
      <w:pPr>
        <w:pStyle w:val="18"/>
        <w:spacing w:before="156"/>
        <w:rPr>
          <w:color w:val="000000"/>
          <w:sz w:val="21"/>
        </w:rPr>
      </w:pPr>
      <w:bookmarkStart w:id="10" w:name="_Toc14433089"/>
      <w:bookmarkStart w:id="11" w:name="_Toc14432512"/>
      <w:r>
        <w:rPr>
          <w:color w:val="000000"/>
          <w:sz w:val="21"/>
        </w:rPr>
        <w:t>投标有效期</w:t>
      </w:r>
      <w:bookmarkEnd w:id="10"/>
      <w:bookmarkEnd w:id="11"/>
    </w:p>
    <w:p w14:paraId="1C392C13">
      <w:pPr>
        <w:pStyle w:val="16"/>
        <w:numPr>
          <w:ilvl w:val="0"/>
          <w:numId w:val="0"/>
        </w:numPr>
        <w:ind w:left="425" w:hanging="425"/>
        <w:rPr>
          <w:color w:val="000000"/>
          <w:sz w:val="21"/>
          <w:szCs w:val="21"/>
        </w:rPr>
      </w:pPr>
      <w:r>
        <w:rPr>
          <w:color w:val="000000"/>
          <w:sz w:val="21"/>
          <w:szCs w:val="21"/>
        </w:rPr>
        <w:t>11.1投标有效期见投标须知前附页。</w:t>
      </w:r>
    </w:p>
    <w:p w14:paraId="78626BB6">
      <w:pPr>
        <w:pStyle w:val="16"/>
        <w:numPr>
          <w:ilvl w:val="0"/>
          <w:numId w:val="0"/>
        </w:numPr>
        <w:ind w:left="425" w:hanging="425"/>
        <w:rPr>
          <w:color w:val="000000"/>
          <w:sz w:val="21"/>
          <w:szCs w:val="21"/>
        </w:rPr>
      </w:pPr>
      <w:r>
        <w:rPr>
          <w:color w:val="000000"/>
          <w:sz w:val="21"/>
          <w:szCs w:val="21"/>
        </w:rPr>
        <w:t>11.2在招标文件中规定的投标有效期满之前，如果出现特殊情况，招标人可以向投标人提出延长其投标文件有效期的要求，这种要求及相关答复均应以书面形式进行。投标人可以拒绝这种要求而不会损失其投标保证金。同意延期的投标人，其投标文件不得修改。</w:t>
      </w:r>
    </w:p>
    <w:p w14:paraId="00A64D57">
      <w:pPr>
        <w:pStyle w:val="18"/>
        <w:spacing w:before="156"/>
        <w:rPr>
          <w:b w:val="0"/>
          <w:color w:val="000000"/>
          <w:sz w:val="21"/>
        </w:rPr>
      </w:pPr>
      <w:bookmarkStart w:id="12" w:name="_Toc14433090"/>
      <w:bookmarkStart w:id="13" w:name="_Toc14432513"/>
      <w:r>
        <w:rPr>
          <w:b w:val="0"/>
          <w:color w:val="000000"/>
          <w:sz w:val="21"/>
        </w:rPr>
        <w:t>投标文件递交说明</w:t>
      </w:r>
      <w:bookmarkEnd w:id="12"/>
      <w:bookmarkEnd w:id="13"/>
    </w:p>
    <w:p w14:paraId="77ABFC94">
      <w:pPr>
        <w:pStyle w:val="16"/>
        <w:numPr>
          <w:ilvl w:val="0"/>
          <w:numId w:val="0"/>
        </w:numPr>
        <w:ind w:left="425" w:hanging="425"/>
        <w:rPr>
          <w:color w:val="000000"/>
          <w:sz w:val="21"/>
          <w:szCs w:val="21"/>
        </w:rPr>
      </w:pPr>
      <w:r>
        <w:rPr>
          <w:color w:val="000000"/>
          <w:sz w:val="21"/>
          <w:szCs w:val="21"/>
        </w:rPr>
        <w:t>12.1投标方式采取</w:t>
      </w:r>
      <w:r>
        <w:rPr>
          <w:rFonts w:hint="eastAsia"/>
          <w:color w:val="000000"/>
          <w:sz w:val="21"/>
          <w:szCs w:val="21"/>
          <w:lang w:val="en-US" w:eastAsia="zh-CN"/>
        </w:rPr>
        <w:t>线下</w:t>
      </w:r>
      <w:r>
        <w:rPr>
          <w:color w:val="000000"/>
          <w:sz w:val="21"/>
          <w:szCs w:val="21"/>
        </w:rPr>
        <w:t>投标。</w:t>
      </w:r>
    </w:p>
    <w:p w14:paraId="1939FAE8">
      <w:pPr>
        <w:pStyle w:val="16"/>
        <w:numPr>
          <w:ilvl w:val="0"/>
          <w:numId w:val="0"/>
        </w:numPr>
        <w:ind w:left="425" w:hanging="425"/>
        <w:rPr>
          <w:color w:val="000000"/>
          <w:sz w:val="21"/>
          <w:szCs w:val="21"/>
        </w:rPr>
      </w:pPr>
      <w:r>
        <w:rPr>
          <w:color w:val="000000"/>
          <w:sz w:val="21"/>
          <w:szCs w:val="21"/>
        </w:rPr>
        <w:t>12.2投标人按照限定时间将全部投标文件的</w:t>
      </w:r>
      <w:r>
        <w:rPr>
          <w:rFonts w:hint="eastAsia"/>
          <w:color w:val="000000"/>
          <w:sz w:val="21"/>
          <w:szCs w:val="21"/>
          <w:lang w:val="en-US" w:eastAsia="zh-CN"/>
        </w:rPr>
        <w:t>纸质</w:t>
      </w:r>
      <w:r>
        <w:rPr>
          <w:color w:val="000000"/>
          <w:sz w:val="21"/>
          <w:szCs w:val="21"/>
        </w:rPr>
        <w:t>档</w:t>
      </w:r>
      <w:r>
        <w:rPr>
          <w:rFonts w:hint="eastAsia"/>
          <w:color w:val="000000"/>
          <w:sz w:val="21"/>
          <w:szCs w:val="21"/>
          <w:lang w:val="en-US" w:eastAsia="zh-CN"/>
        </w:rPr>
        <w:t>邮寄至安徽巡鹰新能源集团有限公司前台（地址：合肥市新站区魏武路与通淮中路交口1533号），</w:t>
      </w:r>
      <w:r>
        <w:rPr>
          <w:color w:val="000000"/>
          <w:sz w:val="21"/>
          <w:szCs w:val="21"/>
        </w:rPr>
        <w:t>截标时间未</w:t>
      </w:r>
      <w:r>
        <w:rPr>
          <w:rFonts w:hint="eastAsia"/>
          <w:color w:val="000000"/>
          <w:sz w:val="21"/>
          <w:szCs w:val="21"/>
          <w:lang w:val="en-US" w:eastAsia="zh-CN"/>
        </w:rPr>
        <w:t>邮寄</w:t>
      </w:r>
      <w:r>
        <w:rPr>
          <w:color w:val="000000"/>
          <w:sz w:val="21"/>
          <w:szCs w:val="21"/>
        </w:rPr>
        <w:t>的，视为放弃投标。</w:t>
      </w:r>
    </w:p>
    <w:p w14:paraId="26C7ED38">
      <w:pPr>
        <w:pStyle w:val="16"/>
        <w:numPr>
          <w:ilvl w:val="0"/>
          <w:numId w:val="0"/>
        </w:numPr>
        <w:ind w:left="425" w:hanging="425"/>
        <w:rPr>
          <w:color w:val="000000"/>
          <w:sz w:val="21"/>
          <w:szCs w:val="21"/>
        </w:rPr>
      </w:pPr>
      <w:r>
        <w:rPr>
          <w:color w:val="000000"/>
          <w:sz w:val="21"/>
          <w:szCs w:val="21"/>
        </w:rPr>
        <w:t>12.3根据本须知的规定，在投标截止时间后，投标人不能修改投标文件。</w:t>
      </w:r>
    </w:p>
    <w:p w14:paraId="6781FF95">
      <w:pPr>
        <w:pStyle w:val="16"/>
        <w:numPr>
          <w:ilvl w:val="0"/>
          <w:numId w:val="0"/>
        </w:numPr>
        <w:ind w:left="425" w:hanging="425"/>
        <w:rPr>
          <w:color w:val="000000"/>
          <w:sz w:val="21"/>
          <w:szCs w:val="21"/>
        </w:rPr>
      </w:pPr>
      <w:r>
        <w:rPr>
          <w:color w:val="000000"/>
          <w:sz w:val="21"/>
          <w:szCs w:val="21"/>
        </w:rPr>
        <w:t>12.4投标过程中，如招标人有任何违规违纪行为，可采取以下方式及途径进行举报：</w:t>
      </w:r>
    </w:p>
    <w:p w14:paraId="641386F9">
      <w:pPr>
        <w:keepNext w:val="0"/>
        <w:keepLines w:val="0"/>
        <w:pageBreakBefore w:val="0"/>
        <w:widowControl w:val="0"/>
        <w:kinsoku/>
        <w:wordWrap w:val="0"/>
        <w:overflowPunct/>
        <w:topLinePunct w:val="0"/>
        <w:autoSpaceDE/>
        <w:autoSpaceDN/>
        <w:bidi w:val="0"/>
        <w:adjustRightInd/>
        <w:snapToGrid/>
        <w:spacing w:line="400" w:lineRule="exact"/>
        <w:textAlignment w:val="auto"/>
      </w:pPr>
      <w:r>
        <w:t>12.4</w:t>
      </w:r>
      <w:r>
        <w:rPr>
          <w:rFonts w:hint="eastAsia"/>
          <w:lang w:val="en-US" w:eastAsia="zh-CN"/>
        </w:rPr>
        <w:t>.1</w:t>
      </w:r>
      <w:r>
        <w:t xml:space="preserve"> 邮件：</w:t>
      </w:r>
      <w:r>
        <w:rPr>
          <w:rFonts w:hint="eastAsia"/>
          <w:lang w:val="en-US" w:eastAsia="zh-CN"/>
        </w:rPr>
        <w:t>巡鹰集团公司合规部邮箱（</w:t>
      </w:r>
      <w:r>
        <w:rPr>
          <w:rFonts w:hint="eastAsia" w:ascii="宋体" w:hAnsi="宋体" w:eastAsia="宋体" w:cs="宋体"/>
          <w:sz w:val="24"/>
          <w:szCs w:val="24"/>
          <w:lang w:val="en-US" w:eastAsia="zh-CN"/>
        </w:rPr>
        <w:t>hegui</w:t>
      </w:r>
      <w:r>
        <w:rPr>
          <w:rFonts w:ascii="宋体" w:hAnsi="宋体" w:eastAsia="宋体" w:cs="宋体"/>
          <w:sz w:val="24"/>
          <w:szCs w:val="24"/>
        </w:rPr>
        <w:t>@ahxunying.com</w:t>
      </w:r>
      <w:r>
        <w:rPr>
          <w:rFonts w:hint="eastAsia"/>
          <w:lang w:val="en-US" w:eastAsia="zh-CN"/>
        </w:rPr>
        <w:t>）项目中心主任</w:t>
      </w:r>
      <w:r>
        <w:t>邮箱（</w:t>
      </w:r>
      <w:r>
        <w:rPr>
          <w:rFonts w:ascii="宋体" w:hAnsi="宋体" w:eastAsia="宋体" w:cs="宋体"/>
          <w:sz w:val="24"/>
          <w:szCs w:val="24"/>
        </w:rPr>
        <w:t>dongqinqin@ahxunying.com</w:t>
      </w:r>
      <w:r>
        <w:t>）</w:t>
      </w:r>
    </w:p>
    <w:p w14:paraId="1545E633">
      <w:pPr>
        <w:pStyle w:val="18"/>
        <w:numPr>
          <w:ilvl w:val="0"/>
          <w:numId w:val="0"/>
        </w:numPr>
        <w:spacing w:before="156"/>
        <w:rPr>
          <w:b w:val="0"/>
          <w:color w:val="000000"/>
          <w:sz w:val="21"/>
          <w:szCs w:val="21"/>
        </w:rPr>
      </w:pPr>
    </w:p>
    <w:p w14:paraId="5E2ED873">
      <w:pPr>
        <w:pStyle w:val="18"/>
        <w:spacing w:before="156"/>
        <w:rPr>
          <w:color w:val="000000"/>
          <w:sz w:val="21"/>
          <w:szCs w:val="21"/>
        </w:rPr>
      </w:pPr>
      <w:r>
        <w:rPr>
          <w:color w:val="000000"/>
          <w:sz w:val="21"/>
          <w:szCs w:val="21"/>
        </w:rPr>
        <w:t>投标保证金</w:t>
      </w:r>
      <w:bookmarkEnd w:id="7"/>
    </w:p>
    <w:p w14:paraId="6F7B6969">
      <w:pPr>
        <w:pStyle w:val="17"/>
        <w:ind w:left="424" w:hanging="424" w:hangingChars="202"/>
        <w:rPr>
          <w:color w:val="000000"/>
          <w:sz w:val="21"/>
          <w:szCs w:val="21"/>
        </w:rPr>
      </w:pPr>
      <w:r>
        <w:rPr>
          <w:color w:val="000000"/>
          <w:sz w:val="21"/>
          <w:szCs w:val="21"/>
        </w:rPr>
        <w:t>中标人的投标保证金，在签署合同协议书并按本招标文件要求提供了履约保证金后，将予以无息退还。</w:t>
      </w:r>
    </w:p>
    <w:p w14:paraId="0A25A829">
      <w:pPr>
        <w:pStyle w:val="17"/>
        <w:ind w:left="424" w:hanging="424" w:hangingChars="202"/>
        <w:rPr>
          <w:color w:val="000000"/>
          <w:sz w:val="21"/>
          <w:szCs w:val="21"/>
        </w:rPr>
      </w:pPr>
      <w:r>
        <w:rPr>
          <w:color w:val="000000"/>
          <w:sz w:val="21"/>
          <w:szCs w:val="21"/>
        </w:rPr>
        <w:t>招标人与中标人签订合同后</w:t>
      </w:r>
      <w:r>
        <w:rPr>
          <w:rFonts w:hint="eastAsia"/>
          <w:color w:val="000000"/>
          <w:sz w:val="21"/>
          <w:szCs w:val="21"/>
          <w:lang w:val="en-US" w:eastAsia="zh-CN"/>
        </w:rPr>
        <w:t>30</w:t>
      </w:r>
      <w:r>
        <w:rPr>
          <w:color w:val="000000"/>
          <w:sz w:val="21"/>
          <w:szCs w:val="21"/>
        </w:rPr>
        <w:t>天内，向未中标的投标人无息退还投标保证金。</w:t>
      </w:r>
    </w:p>
    <w:p w14:paraId="35CBB9FB">
      <w:pPr>
        <w:pStyle w:val="17"/>
        <w:ind w:left="424" w:hanging="424" w:hangingChars="202"/>
        <w:rPr>
          <w:color w:val="000000"/>
          <w:sz w:val="21"/>
          <w:szCs w:val="21"/>
        </w:rPr>
      </w:pPr>
      <w:r>
        <w:rPr>
          <w:color w:val="000000"/>
          <w:sz w:val="21"/>
          <w:szCs w:val="21"/>
        </w:rPr>
        <w:t>招标人因特殊情况书面要求所有投标人延长投标有效期，并相应延长投标保证金有效期的，若投标人书面拒绝延长的，自拒绝延长之日起10天内，无息退还投标保证金。</w:t>
      </w:r>
    </w:p>
    <w:p w14:paraId="2FA8B02B">
      <w:pPr>
        <w:pStyle w:val="17"/>
        <w:ind w:left="424" w:hanging="424" w:hangingChars="202"/>
        <w:rPr>
          <w:color w:val="000000"/>
          <w:sz w:val="21"/>
          <w:szCs w:val="21"/>
        </w:rPr>
      </w:pPr>
      <w:r>
        <w:rPr>
          <w:color w:val="000000"/>
          <w:sz w:val="21"/>
          <w:szCs w:val="21"/>
        </w:rPr>
        <w:t>需领取退还投标保证金的投标人在收到招标人通知后，携带收据原件由招标经办人领至招标人财务部领取。</w:t>
      </w:r>
    </w:p>
    <w:p w14:paraId="36103A41">
      <w:pPr>
        <w:pStyle w:val="17"/>
        <w:ind w:left="424" w:hanging="424" w:hangingChars="202"/>
        <w:rPr>
          <w:color w:val="000000"/>
          <w:sz w:val="21"/>
          <w:szCs w:val="21"/>
        </w:rPr>
      </w:pPr>
      <w:r>
        <w:rPr>
          <w:color w:val="000000"/>
          <w:sz w:val="21"/>
          <w:szCs w:val="21"/>
        </w:rPr>
        <w:t>如果投标人同意延长投标文件有效期，投标人应将投标保证金有效期相应顺延。</w:t>
      </w:r>
    </w:p>
    <w:p w14:paraId="008ECB9B">
      <w:pPr>
        <w:pStyle w:val="17"/>
        <w:ind w:left="424" w:hanging="424" w:hangingChars="202"/>
        <w:rPr>
          <w:color w:val="000000"/>
          <w:sz w:val="21"/>
          <w:szCs w:val="21"/>
        </w:rPr>
      </w:pPr>
      <w:r>
        <w:rPr>
          <w:color w:val="000000"/>
          <w:sz w:val="21"/>
          <w:szCs w:val="21"/>
        </w:rPr>
        <w:t>在下列情况下，招标人有权不予退还投标保证金：</w:t>
      </w:r>
    </w:p>
    <w:p w14:paraId="1F985B72">
      <w:pPr>
        <w:pStyle w:val="16"/>
        <w:rPr>
          <w:color w:val="000000"/>
          <w:sz w:val="21"/>
          <w:szCs w:val="21"/>
        </w:rPr>
      </w:pPr>
      <w:r>
        <w:rPr>
          <w:color w:val="000000"/>
          <w:sz w:val="21"/>
          <w:szCs w:val="21"/>
        </w:rPr>
        <w:t>投标人在投标有效期内中途退出的；</w:t>
      </w:r>
    </w:p>
    <w:p w14:paraId="6919F8C7">
      <w:pPr>
        <w:pStyle w:val="16"/>
        <w:rPr>
          <w:color w:val="000000"/>
          <w:sz w:val="21"/>
          <w:szCs w:val="21"/>
        </w:rPr>
      </w:pPr>
      <w:r>
        <w:rPr>
          <w:color w:val="000000"/>
          <w:sz w:val="21"/>
          <w:szCs w:val="21"/>
        </w:rPr>
        <w:t>中标人未能在规定期限内签署工程承包合同；</w:t>
      </w:r>
    </w:p>
    <w:p w14:paraId="24EAF265">
      <w:pPr>
        <w:pStyle w:val="16"/>
        <w:ind w:left="588" w:hanging="588"/>
        <w:rPr>
          <w:color w:val="000000"/>
          <w:sz w:val="21"/>
          <w:szCs w:val="21"/>
        </w:rPr>
      </w:pPr>
      <w:r>
        <w:rPr>
          <w:color w:val="000000"/>
          <w:sz w:val="21"/>
          <w:szCs w:val="21"/>
        </w:rPr>
        <w:t>中标人未能在规定期限内提供本招标文件所要求履约保证金；</w:t>
      </w:r>
    </w:p>
    <w:p w14:paraId="344DB7F2">
      <w:pPr>
        <w:pStyle w:val="16"/>
        <w:ind w:left="588" w:hanging="588"/>
        <w:rPr>
          <w:color w:val="000000"/>
          <w:sz w:val="21"/>
          <w:szCs w:val="21"/>
        </w:rPr>
      </w:pPr>
      <w:r>
        <w:rPr>
          <w:color w:val="000000"/>
          <w:sz w:val="21"/>
          <w:szCs w:val="21"/>
        </w:rPr>
        <w:t>投标人拒绝出席项目经理答辩会或可能的投标文件答辩会；</w:t>
      </w:r>
    </w:p>
    <w:p w14:paraId="5C1676B4">
      <w:pPr>
        <w:pStyle w:val="16"/>
        <w:ind w:left="588" w:hanging="588"/>
        <w:rPr>
          <w:color w:val="000000"/>
          <w:sz w:val="21"/>
          <w:szCs w:val="21"/>
        </w:rPr>
      </w:pPr>
      <w:r>
        <w:rPr>
          <w:color w:val="000000"/>
          <w:sz w:val="21"/>
          <w:szCs w:val="21"/>
        </w:rPr>
        <w:t>投标人在投标及开标、评标期间不得与其他投标人或其关联方之间有任何串标或串标性质行为；</w:t>
      </w:r>
    </w:p>
    <w:p w14:paraId="4E424273">
      <w:pPr>
        <w:pStyle w:val="16"/>
        <w:ind w:left="588" w:hanging="588"/>
        <w:rPr>
          <w:color w:val="000000"/>
          <w:sz w:val="21"/>
          <w:szCs w:val="21"/>
        </w:rPr>
      </w:pPr>
      <w:r>
        <w:rPr>
          <w:color w:val="000000"/>
          <w:sz w:val="21"/>
          <w:szCs w:val="21"/>
        </w:rPr>
        <w:t>投标人未遵守本招标文件的其它有关规定。</w:t>
      </w:r>
    </w:p>
    <w:p w14:paraId="47797251">
      <w:pPr>
        <w:pStyle w:val="17"/>
        <w:ind w:left="399" w:hanging="399"/>
        <w:rPr>
          <w:color w:val="000000"/>
          <w:sz w:val="21"/>
          <w:szCs w:val="21"/>
        </w:rPr>
      </w:pPr>
      <w:r>
        <w:rPr>
          <w:color w:val="000000"/>
          <w:sz w:val="21"/>
          <w:szCs w:val="21"/>
        </w:rPr>
        <w:t>对中途退出的投标人，需提供退标说明函件；招标人将此次中途退出事件写入该投标人的供应商评价，</w:t>
      </w:r>
      <w:r>
        <w:rPr>
          <w:sz w:val="21"/>
          <w:szCs w:val="21"/>
        </w:rPr>
        <w:t>中标后弃标的停标2年，投标过程中无故弃标的停标半年。</w:t>
      </w:r>
    </w:p>
    <w:p w14:paraId="32F1A180">
      <w:pPr>
        <w:pStyle w:val="17"/>
        <w:ind w:left="399" w:hanging="399"/>
        <w:rPr>
          <w:color w:val="000000"/>
          <w:sz w:val="21"/>
          <w:szCs w:val="21"/>
        </w:rPr>
      </w:pPr>
      <w:r>
        <w:rPr>
          <w:color w:val="000000"/>
          <w:sz w:val="21"/>
          <w:szCs w:val="21"/>
        </w:rPr>
        <w:t>若投标人归还的招标文件、图纸及相关附件，发生缺失，则招标人将从投标保证金中扣减相关费用。</w:t>
      </w:r>
    </w:p>
    <w:p w14:paraId="4ECEBE25">
      <w:pPr>
        <w:pStyle w:val="18"/>
        <w:spacing w:before="156"/>
        <w:rPr>
          <w:color w:val="000000"/>
          <w:sz w:val="21"/>
          <w:szCs w:val="21"/>
        </w:rPr>
      </w:pPr>
      <w:r>
        <w:rPr>
          <w:color w:val="000000"/>
          <w:sz w:val="21"/>
          <w:szCs w:val="21"/>
        </w:rPr>
        <w:t>开标</w:t>
      </w:r>
    </w:p>
    <w:p w14:paraId="295D2547">
      <w:pPr>
        <w:pStyle w:val="17"/>
        <w:numPr>
          <w:ilvl w:val="0"/>
          <w:numId w:val="0"/>
        </w:numPr>
        <w:ind w:left="399"/>
        <w:rPr>
          <w:color w:val="000000"/>
          <w:sz w:val="21"/>
          <w:szCs w:val="21"/>
        </w:rPr>
      </w:pPr>
      <w:r>
        <w:rPr>
          <w:color w:val="000000"/>
          <w:sz w:val="21"/>
          <w:szCs w:val="21"/>
        </w:rPr>
        <w:t>招标人</w:t>
      </w:r>
      <w:r>
        <w:rPr>
          <w:color w:val="000000"/>
          <w:sz w:val="21"/>
          <w:szCs w:val="21"/>
          <w:lang w:eastAsia="zh-CN"/>
        </w:rPr>
        <w:t>自行开标，不邀请投标单位参与开标。</w:t>
      </w:r>
    </w:p>
    <w:p w14:paraId="3AA2174A">
      <w:pPr>
        <w:pStyle w:val="18"/>
        <w:spacing w:before="156"/>
        <w:rPr>
          <w:color w:val="000000"/>
          <w:sz w:val="21"/>
          <w:szCs w:val="21"/>
        </w:rPr>
      </w:pPr>
      <w:r>
        <w:rPr>
          <w:color w:val="000000"/>
          <w:sz w:val="21"/>
          <w:szCs w:val="21"/>
        </w:rPr>
        <w:t>投标文件的澄清</w:t>
      </w:r>
    </w:p>
    <w:p w14:paraId="34868FE2">
      <w:pPr>
        <w:pStyle w:val="17"/>
        <w:ind w:left="426" w:hanging="426"/>
        <w:rPr>
          <w:color w:val="000000"/>
          <w:sz w:val="21"/>
          <w:szCs w:val="21"/>
        </w:rPr>
      </w:pPr>
      <w:r>
        <w:rPr>
          <w:color w:val="000000"/>
          <w:sz w:val="21"/>
          <w:szCs w:val="21"/>
        </w:rPr>
        <w:t>招标人有权个别地要求投标人澄清其投标文件的某些细节。有关澄清的要求与答复应以书面方式或以答辩会议并制作答辩会议纪要的形式进行。但这些要求、答复、答辩不应寻求、提出或允许更改投标文件中的实质性内容。</w:t>
      </w:r>
    </w:p>
    <w:p w14:paraId="6A3BF9A2">
      <w:pPr>
        <w:pStyle w:val="17"/>
        <w:ind w:left="426" w:hanging="426"/>
        <w:rPr>
          <w:color w:val="000000"/>
          <w:sz w:val="21"/>
          <w:szCs w:val="21"/>
        </w:rPr>
      </w:pPr>
      <w:r>
        <w:rPr>
          <w:color w:val="000000"/>
          <w:sz w:val="21"/>
          <w:szCs w:val="21"/>
        </w:rPr>
        <w:t>投标人应做好参加投标文件答辩会的一切必要准备，以便在招标人认为有必要进行投标文件答辩会并以书面方式通知各投标人后，投标人能及时参加答辩会议；可能的答辩会将在本招标工程开标后至本招标工程决标前的任何时间举行，招标人将至少会提前24 小时通知各投标人答辩会的时间、地点和参加人员等。</w:t>
      </w:r>
    </w:p>
    <w:p w14:paraId="5F32EB10">
      <w:pPr>
        <w:pStyle w:val="17"/>
        <w:ind w:left="426" w:hanging="426"/>
        <w:rPr>
          <w:color w:val="000000"/>
          <w:sz w:val="21"/>
          <w:szCs w:val="21"/>
        </w:rPr>
      </w:pPr>
      <w:r>
        <w:rPr>
          <w:color w:val="000000"/>
          <w:sz w:val="21"/>
          <w:szCs w:val="21"/>
        </w:rPr>
        <w:t>不管招标人是否要求投标人进行招标文件答辩，在本招标工程评标期间，招标人将会要求投标人拟派驻本工程现场的项目经理本人就其本人专业理论、实践经验、其投标文件中的有关事项、项目经理本人对本招标工程的特点和难点的认识和具体对策等进行答辩；提醒投标人注意，招标人会对项目经理个人答辩表现的评价将会对本招标工程的评标和决标产生重要的影响。招标人将至少会提前24 小时以通知各投标人答辩会的时间和地点，如果本条上款所述的投标文件答辩会将举行，招标人将在通知中明确各个答辩会的时间、地点、参加人员和有关具体要求，投标人应在收到这样的通知后立即确认已收到这样的会议通知。</w:t>
      </w:r>
    </w:p>
    <w:p w14:paraId="555EDBFE">
      <w:pPr>
        <w:pStyle w:val="17"/>
        <w:ind w:left="426" w:hanging="426"/>
        <w:rPr>
          <w:color w:val="000000"/>
          <w:sz w:val="21"/>
          <w:szCs w:val="21"/>
        </w:rPr>
      </w:pPr>
      <w:r>
        <w:rPr>
          <w:color w:val="000000"/>
          <w:sz w:val="21"/>
          <w:szCs w:val="21"/>
        </w:rPr>
        <w:t>如果投标人未能按时出席或拒绝出席招标人通知的投标文件答辩会或项目经理答辩会，投标人将会失去中标的机会和可能。</w:t>
      </w:r>
    </w:p>
    <w:p w14:paraId="5AD80DF8">
      <w:pPr>
        <w:pStyle w:val="18"/>
        <w:spacing w:before="156"/>
        <w:rPr>
          <w:color w:val="000000"/>
          <w:sz w:val="21"/>
          <w:szCs w:val="21"/>
        </w:rPr>
      </w:pPr>
      <w:r>
        <w:rPr>
          <w:color w:val="000000"/>
          <w:sz w:val="21"/>
          <w:szCs w:val="21"/>
        </w:rPr>
        <w:t>投标文件的评价与比较</w:t>
      </w:r>
    </w:p>
    <w:p w14:paraId="32F16FE0">
      <w:pPr>
        <w:pStyle w:val="17"/>
        <w:ind w:left="399" w:hanging="399"/>
        <w:rPr>
          <w:color w:val="000000"/>
          <w:sz w:val="21"/>
          <w:szCs w:val="21"/>
        </w:rPr>
      </w:pPr>
      <w:r>
        <w:rPr>
          <w:color w:val="000000"/>
          <w:sz w:val="21"/>
          <w:szCs w:val="21"/>
        </w:rPr>
        <w:t>招标人按照“公平、公正、科学、择优”的原则评标，以满足工程技术要求、保证质量、保证工期，并对方案及报价合理、质量保障服务、实施合同的能力、企业信誉、资金等条件进行综合考虑择优评选中标人。</w:t>
      </w:r>
    </w:p>
    <w:p w14:paraId="42068E77">
      <w:pPr>
        <w:pStyle w:val="17"/>
        <w:ind w:left="399" w:hanging="399"/>
        <w:rPr>
          <w:color w:val="000000"/>
          <w:sz w:val="21"/>
          <w:szCs w:val="21"/>
        </w:rPr>
      </w:pPr>
      <w:r>
        <w:rPr>
          <w:color w:val="000000"/>
          <w:sz w:val="21"/>
          <w:szCs w:val="21"/>
        </w:rPr>
        <w:t>评标过程中，招标人有权要求投标人澄清或者说明其投标文件中含义不明确的内容，但有关澄清或者说明，不允许对报价或者其它实质性内容进行更改。</w:t>
      </w:r>
    </w:p>
    <w:p w14:paraId="01502AA0">
      <w:pPr>
        <w:pStyle w:val="17"/>
        <w:ind w:left="399" w:hanging="399"/>
        <w:rPr>
          <w:color w:val="000000"/>
          <w:sz w:val="21"/>
          <w:szCs w:val="21"/>
        </w:rPr>
      </w:pPr>
      <w:r>
        <w:rPr>
          <w:color w:val="000000"/>
          <w:sz w:val="21"/>
          <w:szCs w:val="21"/>
        </w:rPr>
        <w:t>招标人将仅对实质性响应招标文件要求的投标文件进行评价与比较。</w:t>
      </w:r>
    </w:p>
    <w:p w14:paraId="24ACD979">
      <w:pPr>
        <w:pStyle w:val="17"/>
        <w:ind w:left="399" w:hanging="399"/>
        <w:rPr>
          <w:color w:val="000000"/>
          <w:sz w:val="21"/>
          <w:szCs w:val="21"/>
        </w:rPr>
      </w:pPr>
      <w:r>
        <w:rPr>
          <w:color w:val="000000"/>
          <w:sz w:val="21"/>
          <w:szCs w:val="21"/>
        </w:rPr>
        <w:t>评标时将不考虑适用于合同履约期间的合同价格调整条款。</w:t>
      </w:r>
    </w:p>
    <w:p w14:paraId="231DA3D4">
      <w:pPr>
        <w:pStyle w:val="17"/>
        <w:ind w:left="399" w:hanging="399"/>
        <w:rPr>
          <w:color w:val="000000"/>
          <w:sz w:val="21"/>
          <w:szCs w:val="21"/>
        </w:rPr>
      </w:pPr>
      <w:r>
        <w:rPr>
          <w:color w:val="000000"/>
          <w:sz w:val="21"/>
          <w:szCs w:val="21"/>
        </w:rPr>
        <w:t>招标人并不承诺最低价的投标人为中标人，同时招标人亦不会对未中标的投标人提供任何口头或书面的解释。招标人不设未中标补偿金。</w:t>
      </w:r>
    </w:p>
    <w:p w14:paraId="1D168C70">
      <w:pPr>
        <w:pStyle w:val="18"/>
        <w:spacing w:before="156"/>
        <w:rPr>
          <w:color w:val="000000"/>
          <w:sz w:val="21"/>
          <w:szCs w:val="21"/>
        </w:rPr>
      </w:pPr>
      <w:r>
        <w:rPr>
          <w:color w:val="000000"/>
          <w:sz w:val="21"/>
          <w:szCs w:val="21"/>
        </w:rPr>
        <w:t>中标通知书</w:t>
      </w:r>
    </w:p>
    <w:p w14:paraId="40C6A593">
      <w:pPr>
        <w:pStyle w:val="17"/>
        <w:ind w:left="399" w:hanging="399"/>
        <w:rPr>
          <w:color w:val="000000"/>
          <w:sz w:val="21"/>
          <w:szCs w:val="21"/>
        </w:rPr>
      </w:pPr>
      <w:r>
        <w:rPr>
          <w:color w:val="000000"/>
          <w:sz w:val="21"/>
          <w:szCs w:val="21"/>
        </w:rPr>
        <w:t>确定出中标人后，招标人将以书面形式通知中标的投标人其投标被接受。在该通知书（以下合同条件中称“中标通知书”）中给出招标人对中标人按本合同实施、完成和维护工程的中标标价（合同中称为“合同价格”），以及工期、质量和有关合同签订的日期。</w:t>
      </w:r>
    </w:p>
    <w:p w14:paraId="10490222">
      <w:pPr>
        <w:pStyle w:val="17"/>
        <w:ind w:left="399" w:hanging="399"/>
        <w:rPr>
          <w:color w:val="000000"/>
          <w:sz w:val="21"/>
          <w:szCs w:val="21"/>
        </w:rPr>
      </w:pPr>
      <w:r>
        <w:rPr>
          <w:color w:val="000000"/>
          <w:sz w:val="21"/>
          <w:szCs w:val="21"/>
        </w:rPr>
        <w:t>中标通知书将在</w:t>
      </w:r>
      <w:r>
        <w:rPr>
          <w:rFonts w:hint="eastAsia"/>
          <w:kern w:val="2"/>
          <w:sz w:val="21"/>
          <w:szCs w:val="21"/>
          <w:lang w:val="en-US" w:eastAsia="zh-CN"/>
        </w:rPr>
        <w:t>“</w:t>
      </w:r>
      <w:r>
        <w:rPr>
          <w:rFonts w:hint="eastAsia"/>
          <w:lang w:val="en-US" w:eastAsia="zh-CN"/>
        </w:rPr>
        <w:t>新能源动力锂电池研发及智能制造基地</w:t>
      </w:r>
      <w:r>
        <w:rPr>
          <w:rFonts w:hint="eastAsia"/>
          <w:kern w:val="2"/>
          <w:sz w:val="21"/>
          <w:szCs w:val="21"/>
          <w:lang w:val="en-US" w:eastAsia="zh-CN"/>
        </w:rPr>
        <w:t>项目</w:t>
      </w:r>
      <w:r>
        <w:rPr>
          <w:rFonts w:hint="eastAsia"/>
          <w:lang w:val="en-US" w:eastAsia="zh-CN"/>
        </w:rPr>
        <w:t>供配电</w:t>
      </w:r>
      <w:r>
        <w:rPr>
          <w:sz w:val="22"/>
        </w:rPr>
        <w:t>工程</w:t>
      </w:r>
      <w:r>
        <w:rPr>
          <w:rFonts w:hint="eastAsia"/>
          <w:sz w:val="22"/>
          <w:lang w:val="en-US" w:eastAsia="zh-CN"/>
        </w:rPr>
        <w:t>合同</w:t>
      </w:r>
      <w:r>
        <w:rPr>
          <w:rFonts w:hint="eastAsia"/>
          <w:kern w:val="2"/>
          <w:sz w:val="21"/>
          <w:szCs w:val="21"/>
          <w:lang w:val="en-US" w:eastAsia="zh-CN"/>
        </w:rPr>
        <w:t>”</w:t>
      </w:r>
      <w:r>
        <w:rPr>
          <w:color w:val="000000"/>
          <w:sz w:val="21"/>
          <w:szCs w:val="21"/>
        </w:rPr>
        <w:t>最终签署后成为合同的组成部分</w:t>
      </w:r>
      <w:r>
        <w:rPr>
          <w:color w:val="000000"/>
          <w:sz w:val="21"/>
          <w:szCs w:val="21"/>
          <w:lang w:eastAsia="zh-CN"/>
        </w:rPr>
        <w:t>。</w:t>
      </w:r>
    </w:p>
    <w:p w14:paraId="0F1BBE1F">
      <w:pPr>
        <w:pStyle w:val="17"/>
        <w:ind w:left="399" w:hanging="399"/>
        <w:rPr>
          <w:color w:val="000000"/>
          <w:sz w:val="21"/>
          <w:szCs w:val="21"/>
        </w:rPr>
      </w:pPr>
      <w:r>
        <w:rPr>
          <w:color w:val="000000"/>
          <w:sz w:val="21"/>
          <w:szCs w:val="21"/>
        </w:rPr>
        <w:t>招标人向未中标人发出未中标通知书。</w:t>
      </w:r>
    </w:p>
    <w:p w14:paraId="57C173E1">
      <w:pPr>
        <w:pStyle w:val="18"/>
        <w:spacing w:before="156"/>
        <w:rPr>
          <w:color w:val="000000"/>
          <w:sz w:val="21"/>
          <w:szCs w:val="21"/>
        </w:rPr>
      </w:pPr>
      <w:r>
        <w:rPr>
          <w:color w:val="000000"/>
          <w:sz w:val="21"/>
          <w:szCs w:val="21"/>
        </w:rPr>
        <w:t>合同的签署</w:t>
      </w:r>
    </w:p>
    <w:p w14:paraId="7F704E80">
      <w:pPr>
        <w:pStyle w:val="17"/>
        <w:ind w:left="399" w:hanging="399"/>
        <w:rPr>
          <w:color w:val="000000"/>
          <w:sz w:val="21"/>
          <w:szCs w:val="21"/>
        </w:rPr>
      </w:pPr>
      <w:r>
        <w:rPr>
          <w:color w:val="000000"/>
          <w:sz w:val="21"/>
          <w:szCs w:val="21"/>
        </w:rPr>
        <w:t>招标人向中标的投标人发出《中标通知书》之日起30日内，中标人与招标人双方签署承包合同。</w:t>
      </w:r>
    </w:p>
    <w:p w14:paraId="515D78C0">
      <w:pPr>
        <w:pStyle w:val="17"/>
        <w:ind w:left="399" w:hanging="399"/>
        <w:rPr>
          <w:color w:val="000000"/>
          <w:sz w:val="21"/>
          <w:szCs w:val="21"/>
        </w:rPr>
      </w:pPr>
      <w:r>
        <w:rPr>
          <w:color w:val="000000"/>
          <w:sz w:val="21"/>
          <w:szCs w:val="21"/>
        </w:rPr>
        <w:t>承包合同经招标人、中标人双方加盖公司公章或合同专用章后立即生效。</w:t>
      </w:r>
    </w:p>
    <w:p w14:paraId="475C4038">
      <w:pPr>
        <w:pStyle w:val="17"/>
        <w:ind w:left="399" w:hanging="399"/>
        <w:rPr>
          <w:color w:val="000000"/>
          <w:sz w:val="21"/>
          <w:szCs w:val="21"/>
        </w:rPr>
      </w:pPr>
      <w:r>
        <w:rPr>
          <w:color w:val="000000"/>
          <w:sz w:val="21"/>
          <w:szCs w:val="21"/>
        </w:rPr>
        <w:t>如中标人在《中标通知书》规定的期限内不能与招标人签订合同协议书，招标人取消其中标资格，其投标保证金不予退还；给招标人造成的损失超过投标保证金数额的，中标人还应当对超过部分予以赔偿。</w:t>
      </w:r>
    </w:p>
    <w:p w14:paraId="13B70C3C">
      <w:pPr>
        <w:pStyle w:val="18"/>
        <w:spacing w:before="156"/>
        <w:rPr>
          <w:color w:val="000000"/>
          <w:sz w:val="21"/>
          <w:szCs w:val="21"/>
        </w:rPr>
      </w:pPr>
      <w:r>
        <w:rPr>
          <w:color w:val="000000"/>
          <w:sz w:val="21"/>
          <w:szCs w:val="21"/>
        </w:rPr>
        <w:t>履约保证金</w:t>
      </w:r>
    </w:p>
    <w:p w14:paraId="3A70454E">
      <w:pPr>
        <w:pStyle w:val="17"/>
        <w:ind w:left="399" w:hanging="399"/>
        <w:rPr>
          <w:color w:val="000000"/>
          <w:sz w:val="21"/>
          <w:szCs w:val="21"/>
        </w:rPr>
      </w:pPr>
      <w:r>
        <w:rPr>
          <w:color w:val="000000"/>
          <w:sz w:val="21"/>
          <w:szCs w:val="21"/>
        </w:rPr>
        <w:t>中标人应按招标文件后附的合同</w:t>
      </w:r>
      <w:r>
        <w:rPr>
          <w:rFonts w:hint="eastAsia"/>
          <w:color w:val="000000"/>
          <w:sz w:val="21"/>
          <w:szCs w:val="21"/>
          <w:lang w:eastAsia="zh-CN"/>
        </w:rPr>
        <w:t>协议书</w:t>
      </w:r>
      <w:r>
        <w:rPr>
          <w:color w:val="000000"/>
          <w:sz w:val="21"/>
          <w:szCs w:val="21"/>
        </w:rPr>
        <w:t>约定向招标人提交履约保证金。</w:t>
      </w:r>
    </w:p>
    <w:p w14:paraId="135A0CDD">
      <w:pPr>
        <w:pStyle w:val="18"/>
        <w:widowControl w:val="0"/>
        <w:numPr>
          <w:ilvl w:val="0"/>
          <w:numId w:val="0"/>
        </w:numPr>
        <w:bidi w:val="0"/>
        <w:spacing w:before="50" w:beforeLines="50" w:line="400" w:lineRule="exact"/>
        <w:jc w:val="both"/>
        <w:rPr>
          <w:color w:val="000000"/>
          <w:sz w:val="21"/>
          <w:szCs w:val="21"/>
        </w:rPr>
      </w:pPr>
    </w:p>
    <w:p w14:paraId="0C5FABDB">
      <w:pPr>
        <w:pStyle w:val="18"/>
        <w:numPr>
          <w:ilvl w:val="0"/>
          <w:numId w:val="0"/>
        </w:numPr>
        <w:spacing w:before="156"/>
        <w:rPr>
          <w:color w:val="000000"/>
          <w:sz w:val="21"/>
          <w:szCs w:val="21"/>
        </w:rPr>
        <w:sectPr>
          <w:headerReference r:id="rId6" w:type="first"/>
          <w:headerReference r:id="rId4" w:type="default"/>
          <w:footerReference r:id="rId7" w:type="default"/>
          <w:headerReference r:id="rId5" w:type="even"/>
          <w:pgSz w:w="11906" w:h="16838"/>
          <w:pgMar w:top="1134" w:right="1134" w:bottom="1134" w:left="1134" w:header="567" w:footer="567" w:gutter="0"/>
          <w:cols w:space="425" w:num="1"/>
          <w:docGrid w:type="lines" w:linePitch="312" w:charSpace="0"/>
        </w:sectPr>
      </w:pPr>
      <w:r>
        <w:rPr>
          <w:rFonts w:hint="eastAsia" w:eastAsia="宋体"/>
          <w:lang w:eastAsia="zh-CN"/>
        </w:rPr>
        <w:drawing>
          <wp:anchor distT="0" distB="0" distL="114300" distR="114300" simplePos="0" relativeHeight="251659264" behindDoc="0" locked="0" layoutInCell="1" allowOverlap="1">
            <wp:simplePos x="0" y="0"/>
            <wp:positionH relativeFrom="column">
              <wp:posOffset>170815</wp:posOffset>
            </wp:positionH>
            <wp:positionV relativeFrom="paragraph">
              <wp:posOffset>605155</wp:posOffset>
            </wp:positionV>
            <wp:extent cx="1123950" cy="1123950"/>
            <wp:effectExtent l="0" t="0" r="0" b="0"/>
            <wp:wrapTopAndBottom/>
            <wp:docPr id="4" name="图片 4" descr="35cd563d8d45216e834e4ca439950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5cd563d8d45216e834e4ca4399501c"/>
                    <pic:cNvPicPr>
                      <a:picLocks noChangeAspect="1"/>
                    </pic:cNvPicPr>
                  </pic:nvPicPr>
                  <pic:blipFill>
                    <a:blip r:embed="rId9"/>
                    <a:stretch>
                      <a:fillRect/>
                    </a:stretch>
                  </pic:blipFill>
                  <pic:spPr>
                    <a:xfrm>
                      <a:off x="0" y="0"/>
                      <a:ext cx="1123950" cy="1123950"/>
                    </a:xfrm>
                    <a:prstGeom prst="rect">
                      <a:avLst/>
                    </a:prstGeom>
                  </pic:spPr>
                </pic:pic>
              </a:graphicData>
            </a:graphic>
          </wp:anchor>
        </w:drawing>
      </w:r>
      <w:r>
        <w:rPr>
          <w:rFonts w:hint="default" w:ascii="Times New Roman" w:hAnsi="Times New Roman" w:cs="Times New Roman"/>
          <w:b/>
          <w:bCs/>
          <w:sz w:val="21"/>
          <w:szCs w:val="24"/>
          <w:lang w:val="en-US" w:eastAsia="zh-CN"/>
        </w:rPr>
        <w:t>20</w:t>
      </w:r>
      <w:r>
        <w:rPr>
          <w:rFonts w:hint="eastAsia" w:cs="Times New Roman"/>
          <w:b/>
          <w:bCs/>
          <w:sz w:val="21"/>
          <w:szCs w:val="24"/>
          <w:lang w:val="en-US" w:eastAsia="zh-CN"/>
        </w:rPr>
        <w:t xml:space="preserve"> 扫描二维码关注了解巡鹰集团</w:t>
      </w:r>
    </w:p>
    <w:p w14:paraId="2778AFFD">
      <w:pPr>
        <w:pStyle w:val="2"/>
        <w:spacing w:before="0" w:after="0" w:line="240" w:lineRule="auto"/>
        <w:jc w:val="center"/>
        <w:rPr>
          <w:color w:val="000000"/>
          <w:sz w:val="32"/>
          <w:szCs w:val="30"/>
        </w:rPr>
      </w:pPr>
      <w:bookmarkStart w:id="14" w:name="_Toc311737691"/>
      <w:bookmarkStart w:id="15" w:name="_Toc252885816"/>
      <w:r>
        <w:rPr>
          <w:color w:val="000000"/>
          <w:sz w:val="32"/>
        </w:rPr>
        <w:t>投标</w:t>
      </w:r>
      <w:bookmarkEnd w:id="14"/>
      <w:r>
        <w:rPr>
          <w:color w:val="000000"/>
          <w:sz w:val="32"/>
          <w:lang w:eastAsia="zh-CN"/>
        </w:rPr>
        <w:t>承诺函附件</w:t>
      </w:r>
    </w:p>
    <w:p w14:paraId="19B87231">
      <w:pPr>
        <w:pStyle w:val="3"/>
        <w:spacing w:before="0" w:after="0" w:line="240" w:lineRule="auto"/>
        <w:jc w:val="center"/>
        <w:rPr>
          <w:rFonts w:ascii="Times New Roman" w:hAnsi="Times New Roman"/>
          <w:color w:val="000000"/>
          <w:szCs w:val="30"/>
        </w:rPr>
      </w:pPr>
      <w:bookmarkStart w:id="16" w:name="_Toc311737692"/>
      <w:r>
        <w:rPr>
          <w:rFonts w:ascii="Times New Roman" w:hAnsi="Times New Roman"/>
          <w:color w:val="000000"/>
          <w:szCs w:val="30"/>
        </w:rPr>
        <w:t>附件一：投标承诺书</w:t>
      </w:r>
      <w:bookmarkEnd w:id="15"/>
      <w:bookmarkEnd w:id="16"/>
    </w:p>
    <w:p w14:paraId="331772ED">
      <w:pPr>
        <w:jc w:val="center"/>
        <w:rPr>
          <w:b/>
          <w:color w:val="000000"/>
          <w:kern w:val="0"/>
          <w:szCs w:val="21"/>
        </w:rPr>
      </w:pPr>
    </w:p>
    <w:p w14:paraId="1B65EF06">
      <w:pPr>
        <w:snapToGrid w:val="0"/>
        <w:spacing w:line="400" w:lineRule="exact"/>
        <w:rPr>
          <w:color w:val="000000"/>
          <w:kern w:val="0"/>
          <w:u w:val="single"/>
        </w:rPr>
      </w:pPr>
      <w:r>
        <w:rPr>
          <w:color w:val="000000"/>
        </w:rPr>
        <w:t xml:space="preserve">致（招标人）: </w:t>
      </w:r>
      <w:r>
        <w:rPr>
          <w:color w:val="000000"/>
          <w:kern w:val="0"/>
          <w:u w:val="single"/>
        </w:rPr>
        <w:t xml:space="preserve">                                    </w:t>
      </w:r>
    </w:p>
    <w:p w14:paraId="4A5A8337">
      <w:pPr>
        <w:snapToGrid w:val="0"/>
        <w:spacing w:line="400" w:lineRule="exact"/>
        <w:rPr>
          <w:color w:val="000000"/>
        </w:rPr>
      </w:pPr>
    </w:p>
    <w:p w14:paraId="0A6F2AE3">
      <w:pPr>
        <w:snapToGrid w:val="0"/>
        <w:spacing w:line="400" w:lineRule="exact"/>
        <w:ind w:firstLine="420" w:firstLineChars="200"/>
        <w:rPr>
          <w:color w:val="000000"/>
        </w:rPr>
      </w:pPr>
      <w:r>
        <w:rPr>
          <w:color w:val="000000"/>
        </w:rPr>
        <w:t>我司确认已完全知悉招标人</w:t>
      </w:r>
      <w:r>
        <w:rPr>
          <w:color w:val="000000"/>
          <w:u w:val="single"/>
        </w:rPr>
        <w:t xml:space="preserve">                     </w:t>
      </w:r>
      <w:r>
        <w:rPr>
          <w:color w:val="000000"/>
        </w:rPr>
        <w:t>工程招标的全部内容，并对施工现场进行勘察，我司</w:t>
      </w:r>
      <w:r>
        <w:rPr>
          <w:color w:val="000000"/>
          <w:u w:val="single"/>
        </w:rPr>
        <w:t xml:space="preserve">                     </w:t>
      </w:r>
      <w:r>
        <w:rPr>
          <w:color w:val="000000"/>
        </w:rPr>
        <w:t>作为投标人正式授权</w:t>
      </w:r>
      <w:r>
        <w:rPr>
          <w:color w:val="000000"/>
          <w:u w:val="single"/>
        </w:rPr>
        <w:t xml:space="preserve">                  </w:t>
      </w:r>
      <w:r>
        <w:rPr>
          <w:color w:val="000000"/>
        </w:rPr>
        <w:t>（授权代表全名, 职务）代表我司进行有关本投标活动的一切事宜，考虑本企业自身的实力及特点，作出如下承诺。</w:t>
      </w:r>
    </w:p>
    <w:p w14:paraId="6498614B">
      <w:pPr>
        <w:numPr>
          <w:ilvl w:val="1"/>
          <w:numId w:val="3"/>
        </w:numPr>
        <w:snapToGrid w:val="0"/>
        <w:spacing w:line="400" w:lineRule="exact"/>
        <w:ind w:left="426" w:hanging="426"/>
        <w:rPr>
          <w:color w:val="000000"/>
        </w:rPr>
      </w:pPr>
      <w:r>
        <w:rPr>
          <w:color w:val="000000"/>
        </w:rPr>
        <w:t>在此提交的投标文件, 正本</w:t>
      </w:r>
      <w:r>
        <w:rPr>
          <w:color w:val="000000"/>
          <w:u w:val="single"/>
        </w:rPr>
        <w:t xml:space="preserve">        </w:t>
      </w:r>
      <w:r>
        <w:rPr>
          <w:color w:val="000000"/>
        </w:rPr>
        <w:t>份。</w:t>
      </w:r>
    </w:p>
    <w:p w14:paraId="21D82C9D">
      <w:pPr>
        <w:numPr>
          <w:ilvl w:val="1"/>
          <w:numId w:val="3"/>
        </w:numPr>
        <w:snapToGrid w:val="0"/>
        <w:spacing w:line="400" w:lineRule="exact"/>
        <w:ind w:left="426" w:hanging="426"/>
      </w:pPr>
      <w:r>
        <w:t>我司投标</w:t>
      </w:r>
      <w:r>
        <w:rPr>
          <w:b/>
          <w:sz w:val="24"/>
        </w:rPr>
        <w:t>含税</w:t>
      </w:r>
      <w:r>
        <w:t>总价为人民币（大写）   元（¥</w:t>
      </w:r>
      <w:r>
        <w:rPr>
          <w:szCs w:val="21"/>
          <w:u w:val="single"/>
        </w:rPr>
        <w:t xml:space="preserve">     </w:t>
      </w:r>
      <w:r>
        <w:rPr>
          <w:szCs w:val="21"/>
        </w:rPr>
        <w:t>元）</w:t>
      </w:r>
      <w:r>
        <w:t>，其中，</w:t>
      </w:r>
      <w:r>
        <w:rPr>
          <w:b/>
          <w:sz w:val="24"/>
        </w:rPr>
        <w:t>不含税</w:t>
      </w:r>
      <w:r>
        <w:t>价格为人民币   元，（¥</w:t>
      </w:r>
      <w:r>
        <w:rPr>
          <w:szCs w:val="21"/>
          <w:u w:val="single"/>
        </w:rPr>
        <w:t xml:space="preserve">         </w:t>
      </w:r>
      <w:r>
        <w:rPr>
          <w:szCs w:val="21"/>
        </w:rPr>
        <w:t>元）。</w:t>
      </w:r>
      <w:r>
        <w:t>增值税税率/征收率为</w:t>
      </w:r>
      <w:r>
        <w:rPr>
          <w:u w:val="single"/>
        </w:rPr>
        <w:t xml:space="preserve">     </w:t>
      </w:r>
      <w:r>
        <w:t>%，增值税税税额为人民币（大写）     元（¥</w:t>
      </w:r>
      <w:r>
        <w:rPr>
          <w:szCs w:val="21"/>
          <w:u w:val="single"/>
        </w:rPr>
        <w:t xml:space="preserve">       </w:t>
      </w:r>
      <w:r>
        <w:rPr>
          <w:szCs w:val="21"/>
        </w:rPr>
        <w:t>元）。</w:t>
      </w:r>
    </w:p>
    <w:p w14:paraId="7FEDA13F">
      <w:pPr>
        <w:numPr>
          <w:ilvl w:val="1"/>
          <w:numId w:val="3"/>
        </w:numPr>
        <w:snapToGrid w:val="0"/>
        <w:spacing w:line="400" w:lineRule="exact"/>
        <w:ind w:left="426" w:hanging="426"/>
        <w:rPr>
          <w:color w:val="000000"/>
        </w:rPr>
      </w:pPr>
      <w:r>
        <w:rPr>
          <w:color w:val="000000"/>
        </w:rPr>
        <w:t>我司郑重承诺，我司将开具增值税专用发票，保证本报价不低于成本。我司根据自身精心测算，已全面考虑了招标文件</w:t>
      </w:r>
      <w:r>
        <w:t>及其附件</w:t>
      </w:r>
      <w:r>
        <w:rPr>
          <w:color w:val="000000"/>
        </w:rPr>
        <w:t>、招标答疑等全部相关规定，并充分考虑市场波动的风险。</w:t>
      </w:r>
    </w:p>
    <w:p w14:paraId="22EEF7F9">
      <w:pPr>
        <w:numPr>
          <w:ilvl w:val="1"/>
          <w:numId w:val="3"/>
        </w:numPr>
        <w:snapToGrid w:val="0"/>
        <w:spacing w:line="400" w:lineRule="exact"/>
        <w:ind w:left="426" w:hanging="426"/>
        <w:rPr>
          <w:bCs/>
          <w:color w:val="000000"/>
        </w:rPr>
      </w:pPr>
      <w:r>
        <w:rPr>
          <w:bCs/>
          <w:color w:val="000000"/>
        </w:rPr>
        <w:t>本工程投标工期为</w:t>
      </w:r>
      <w:r>
        <w:rPr>
          <w:bCs/>
          <w:color w:val="000000"/>
          <w:u w:val="single"/>
        </w:rPr>
        <w:t xml:space="preserve">     </w:t>
      </w:r>
      <w:r>
        <w:rPr>
          <w:bCs/>
          <w:color w:val="000000"/>
        </w:rPr>
        <w:t>个日历天内，我司保证如期完工并交付使用，如有延期，我司愿支付每逾期一天违约金</w:t>
      </w:r>
      <w:r>
        <w:rPr>
          <w:bCs/>
          <w:color w:val="000000"/>
          <w:u w:val="single"/>
        </w:rPr>
        <w:t xml:space="preserve">      </w:t>
      </w:r>
      <w:r>
        <w:rPr>
          <w:bCs/>
          <w:color w:val="000000"/>
        </w:rPr>
        <w:t>万元（或每逾期一天按合同价的</w:t>
      </w:r>
      <w:r>
        <w:rPr>
          <w:bCs/>
          <w:color w:val="000000"/>
          <w:u w:val="single"/>
        </w:rPr>
        <w:t xml:space="preserve">        </w:t>
      </w:r>
      <w:r>
        <w:rPr>
          <w:bCs/>
          <w:color w:val="000000"/>
        </w:rPr>
        <w:t>%的违约金）。</w:t>
      </w:r>
    </w:p>
    <w:p w14:paraId="5BEC159D">
      <w:pPr>
        <w:numPr>
          <w:ilvl w:val="1"/>
          <w:numId w:val="3"/>
        </w:numPr>
        <w:snapToGrid w:val="0"/>
        <w:spacing w:line="400" w:lineRule="exact"/>
        <w:ind w:left="426" w:hanging="426"/>
        <w:rPr>
          <w:bCs/>
          <w:color w:val="000000"/>
        </w:rPr>
      </w:pPr>
      <w:r>
        <w:t>我司保证本工程质量达到招标文件约定的质量标准，所有涉及外观效果的材料均承诺达到封样样品效果，施工工艺均承诺达到招标文件中相关要求，否则按招标人要求整改至合格。</w:t>
      </w:r>
    </w:p>
    <w:p w14:paraId="350800F9">
      <w:pPr>
        <w:numPr>
          <w:ilvl w:val="1"/>
          <w:numId w:val="3"/>
        </w:numPr>
        <w:snapToGrid w:val="0"/>
        <w:spacing w:line="400" w:lineRule="exact"/>
        <w:ind w:left="426" w:hanging="426"/>
        <w:rPr>
          <w:color w:val="000000"/>
          <w:szCs w:val="21"/>
        </w:rPr>
      </w:pPr>
      <w:r>
        <w:rPr>
          <w:color w:val="000000"/>
          <w:szCs w:val="21"/>
        </w:rPr>
        <w:t>我司已详细阅读全部招标文件及其附件、招标答疑等全部文件，完全认同并接受其全部内容。</w:t>
      </w:r>
      <w:r>
        <w:rPr>
          <w:color w:val="000000"/>
        </w:rPr>
        <w:t>我司若未按照招标文件的要求提出质疑，如果我司中标，招标人有权依据有关条款作出书面解释，我司愿意承担该不利后果。</w:t>
      </w:r>
    </w:p>
    <w:p w14:paraId="6B7F75B8">
      <w:pPr>
        <w:numPr>
          <w:ilvl w:val="1"/>
          <w:numId w:val="3"/>
        </w:numPr>
        <w:snapToGrid w:val="0"/>
        <w:spacing w:line="400" w:lineRule="exact"/>
        <w:ind w:left="426" w:hanging="426"/>
        <w:rPr>
          <w:color w:val="000000"/>
        </w:rPr>
      </w:pPr>
      <w:r>
        <w:rPr>
          <w:color w:val="000000"/>
        </w:rPr>
        <w:t>我司同意按照贵司可能提出的要求，提供与投标有关的任何其它数据或信息。</w:t>
      </w:r>
    </w:p>
    <w:p w14:paraId="0E08A5DD">
      <w:pPr>
        <w:numPr>
          <w:ilvl w:val="1"/>
          <w:numId w:val="3"/>
        </w:numPr>
        <w:snapToGrid w:val="0"/>
        <w:spacing w:line="400" w:lineRule="exact"/>
        <w:ind w:left="426" w:hanging="426"/>
        <w:rPr>
          <w:color w:val="000000"/>
        </w:rPr>
      </w:pPr>
      <w:r>
        <w:rPr>
          <w:color w:val="000000"/>
        </w:rPr>
        <w:t>我司承诺对投标文件的真实性、可靠性和准确性负责，并承诺不存在侵权的行为，若因投标文件的真实性、可靠性、准确性以及侵权行为，造成的后果及法律责任，与招标代理机构和招标人无关，我司完全承担因此而造成的一切后果及法律责任。</w:t>
      </w:r>
    </w:p>
    <w:p w14:paraId="14E526D6">
      <w:pPr>
        <w:numPr>
          <w:ilvl w:val="1"/>
          <w:numId w:val="3"/>
        </w:numPr>
        <w:snapToGrid w:val="0"/>
        <w:spacing w:line="400" w:lineRule="exact"/>
        <w:ind w:left="426" w:hanging="426"/>
        <w:rPr>
          <w:color w:val="000000"/>
        </w:rPr>
      </w:pPr>
      <w:r>
        <w:rPr>
          <w:color w:val="000000"/>
        </w:rPr>
        <w:t>本投标文件的有效期至投标截止日后</w:t>
      </w:r>
      <w:r>
        <w:rPr>
          <w:color w:val="000000"/>
          <w:u w:val="single"/>
        </w:rPr>
        <w:t xml:space="preserve">  120 个</w:t>
      </w:r>
      <w:r>
        <w:rPr>
          <w:color w:val="000000"/>
        </w:rPr>
        <w:t>日历天有效，如中标，有效期将自动延至施工合同终止日为止。</w:t>
      </w:r>
    </w:p>
    <w:p w14:paraId="203B657F">
      <w:pPr>
        <w:numPr>
          <w:ilvl w:val="1"/>
          <w:numId w:val="3"/>
        </w:numPr>
        <w:snapToGrid w:val="0"/>
        <w:spacing w:line="400" w:lineRule="exact"/>
        <w:ind w:left="426" w:hanging="426"/>
        <w:rPr>
          <w:bCs/>
          <w:color w:val="000000"/>
        </w:rPr>
      </w:pPr>
      <w:r>
        <w:rPr>
          <w:color w:val="000000"/>
        </w:rPr>
        <w:t>我司如果中标，将保证履行招标文件以及招标文件修改书（如果有的话）中的全部责任和义务，按我司在投标文件中的承诺签订合同，按质、按量、按期完成建设任务。</w:t>
      </w:r>
    </w:p>
    <w:p w14:paraId="190CBF8C">
      <w:pPr>
        <w:numPr>
          <w:ilvl w:val="1"/>
          <w:numId w:val="3"/>
        </w:numPr>
        <w:snapToGrid w:val="0"/>
        <w:spacing w:line="400" w:lineRule="exact"/>
        <w:ind w:left="426" w:hanging="426"/>
        <w:rPr>
          <w:bCs/>
          <w:color w:val="000000"/>
        </w:rPr>
      </w:pPr>
      <w:r>
        <w:rPr>
          <w:bCs/>
          <w:color w:val="000000"/>
        </w:rPr>
        <w:t>我司如果中标，承诺在招标人确定的工期、建设规模、标准和投资控制的前提下，完全接受招标人对本项目功能需求和相关建设标准的要求；承诺本工程的质量保修期按国家有关执行。</w:t>
      </w:r>
    </w:p>
    <w:p w14:paraId="13218B74">
      <w:pPr>
        <w:numPr>
          <w:ilvl w:val="1"/>
          <w:numId w:val="3"/>
        </w:numPr>
        <w:snapToGrid w:val="0"/>
        <w:spacing w:line="400" w:lineRule="exact"/>
        <w:ind w:left="426" w:hanging="426"/>
        <w:rPr>
          <w:bCs/>
          <w:color w:val="000000"/>
        </w:rPr>
      </w:pPr>
      <w:r>
        <w:rPr>
          <w:bCs/>
          <w:color w:val="000000"/>
        </w:rPr>
        <w:t>我司如果中标，</w:t>
      </w:r>
      <w:r>
        <w:rPr>
          <w:color w:val="000000"/>
        </w:rPr>
        <w:t>我司承诺中标后我司的项目负责人未经招标人同意，不作更换。</w:t>
      </w:r>
    </w:p>
    <w:p w14:paraId="60E6CB60">
      <w:pPr>
        <w:numPr>
          <w:ilvl w:val="1"/>
          <w:numId w:val="3"/>
        </w:numPr>
        <w:snapToGrid w:val="0"/>
        <w:spacing w:line="400" w:lineRule="exact"/>
        <w:ind w:left="426" w:hanging="426"/>
      </w:pPr>
      <w:r>
        <w:rPr>
          <w:bCs/>
          <w:color w:val="000000"/>
        </w:rPr>
        <w:t>我司如果中标</w:t>
      </w:r>
      <w:r>
        <w:rPr>
          <w:color w:val="000000"/>
        </w:rPr>
        <w:t>，承诺在收到中标通知书后</w:t>
      </w:r>
      <w:r>
        <w:rPr>
          <w:color w:val="000000"/>
          <w:u w:val="single"/>
        </w:rPr>
        <w:t xml:space="preserve">         个</w:t>
      </w:r>
      <w:r>
        <w:rPr>
          <w:color w:val="000000"/>
        </w:rPr>
        <w:t>日历天内与贵司签署施工合同并按合同约定向贵司提履约保证金，</w:t>
      </w:r>
      <w:r>
        <w:t>否则将没收我司的投标保证金，若给贵司造成的损失超过投标保证金数额的，我司将对超过部分予以赔偿。</w:t>
      </w:r>
    </w:p>
    <w:p w14:paraId="2D90E825">
      <w:pPr>
        <w:numPr>
          <w:ilvl w:val="1"/>
          <w:numId w:val="3"/>
        </w:numPr>
        <w:snapToGrid w:val="0"/>
        <w:spacing w:line="400" w:lineRule="exact"/>
        <w:ind w:left="426" w:hanging="426"/>
        <w:rPr>
          <w:color w:val="000000"/>
        </w:rPr>
      </w:pPr>
      <w:r>
        <w:rPr>
          <w:color w:val="000000"/>
          <w:szCs w:val="21"/>
        </w:rPr>
        <w:t>我司在取得中标通知书后，如对招标文件及合同条款再提出变更要求或以任何借口拖延合同签署行为的，贵司有权取消我司中标资格，并没收我司全部投标保证金，改由其它投标人为中标人。</w:t>
      </w:r>
    </w:p>
    <w:p w14:paraId="2125A3DC">
      <w:pPr>
        <w:numPr>
          <w:ilvl w:val="1"/>
          <w:numId w:val="3"/>
        </w:numPr>
        <w:snapToGrid w:val="0"/>
        <w:spacing w:line="400" w:lineRule="exact"/>
        <w:ind w:left="426" w:right="-2" w:hanging="426"/>
        <w:rPr>
          <w:color w:val="000000"/>
          <w:szCs w:val="21"/>
        </w:rPr>
      </w:pPr>
      <w:r>
        <w:rPr>
          <w:color w:val="000000"/>
          <w:szCs w:val="21"/>
        </w:rPr>
        <w:t>如我司未履行上述承诺</w:t>
      </w:r>
      <w:r>
        <w:rPr>
          <w:color w:val="000000"/>
        </w:rPr>
        <w:t>或有其他违反投标文件规定行为</w:t>
      </w:r>
      <w:r>
        <w:rPr>
          <w:color w:val="000000"/>
          <w:szCs w:val="21"/>
        </w:rPr>
        <w:t>，</w:t>
      </w:r>
      <w:r>
        <w:rPr>
          <w:color w:val="000000"/>
        </w:rPr>
        <w:t>则</w:t>
      </w:r>
      <w:r>
        <w:rPr>
          <w:color w:val="000000"/>
          <w:szCs w:val="21"/>
        </w:rPr>
        <w:t>招标人有权</w:t>
      </w:r>
      <w:r>
        <w:rPr>
          <w:color w:val="000000"/>
        </w:rPr>
        <w:t>取消投标人的中标资格并</w:t>
      </w:r>
      <w:r>
        <w:rPr>
          <w:color w:val="000000"/>
          <w:szCs w:val="21"/>
        </w:rPr>
        <w:t>没收投标人的全部投标保证金。</w:t>
      </w:r>
    </w:p>
    <w:p w14:paraId="40FBE6B3">
      <w:pPr>
        <w:numPr>
          <w:ilvl w:val="1"/>
          <w:numId w:val="3"/>
        </w:numPr>
        <w:snapToGrid w:val="0"/>
        <w:spacing w:line="400" w:lineRule="exact"/>
        <w:ind w:left="426" w:right="-2" w:hanging="426"/>
        <w:rPr>
          <w:szCs w:val="21"/>
        </w:rPr>
      </w:pPr>
      <w:r>
        <w:rPr>
          <w:szCs w:val="21"/>
        </w:rPr>
        <w:t>我司知道并理解，如果我司未中标，贵司有权不作任何解释。</w:t>
      </w:r>
    </w:p>
    <w:p w14:paraId="76EA84CD">
      <w:pPr>
        <w:spacing w:line="360" w:lineRule="auto"/>
        <w:ind w:firstLine="5145" w:firstLineChars="2450"/>
        <w:rPr>
          <w:bCs/>
          <w:color w:val="000000"/>
        </w:rPr>
      </w:pPr>
      <w:r>
        <w:rPr>
          <w:bCs/>
          <w:color w:val="000000"/>
        </w:rPr>
        <w:t>投标人（法人公章）：</w:t>
      </w:r>
    </w:p>
    <w:p w14:paraId="166AB9BB">
      <w:pPr>
        <w:spacing w:line="360" w:lineRule="auto"/>
        <w:ind w:firstLine="5145" w:firstLineChars="2450"/>
        <w:rPr>
          <w:bCs/>
          <w:color w:val="000000"/>
        </w:rPr>
      </w:pPr>
      <w:r>
        <w:rPr>
          <w:bCs/>
          <w:color w:val="000000"/>
        </w:rPr>
        <w:t>法定代表人或授权代表（签字或盖章）：</w:t>
      </w:r>
    </w:p>
    <w:p w14:paraId="75A219BC">
      <w:pPr>
        <w:spacing w:line="360" w:lineRule="auto"/>
        <w:ind w:firstLine="5145" w:firstLineChars="2450"/>
        <w:rPr>
          <w:bCs/>
          <w:color w:val="000000"/>
        </w:rPr>
      </w:pPr>
      <w:r>
        <w:rPr>
          <w:bCs/>
          <w:color w:val="000000"/>
        </w:rPr>
        <w:t>日 期：_______年_______月______日</w:t>
      </w:r>
    </w:p>
    <w:p w14:paraId="71AD32B2">
      <w:pPr>
        <w:rPr>
          <w:color w:val="000000"/>
        </w:rPr>
        <w:sectPr>
          <w:pgSz w:w="11906" w:h="16838"/>
          <w:pgMar w:top="851" w:right="991" w:bottom="993" w:left="851" w:header="567" w:footer="567" w:gutter="0"/>
          <w:cols w:space="425" w:num="1"/>
          <w:docGrid w:type="lines" w:linePitch="312" w:charSpace="0"/>
        </w:sectPr>
      </w:pPr>
    </w:p>
    <w:p w14:paraId="1A3856DA">
      <w:pPr>
        <w:pStyle w:val="3"/>
        <w:jc w:val="center"/>
        <w:rPr>
          <w:rFonts w:ascii="Times New Roman" w:hAnsi="Times New Roman"/>
          <w:color w:val="000000"/>
        </w:rPr>
      </w:pPr>
      <w:bookmarkStart w:id="17" w:name="_Toc311737693"/>
      <w:bookmarkStart w:id="18" w:name="_Toc252885817"/>
      <w:r>
        <w:rPr>
          <w:rFonts w:ascii="Times New Roman" w:hAnsi="Times New Roman"/>
          <w:color w:val="000000"/>
        </w:rPr>
        <w:t>附件二：法定代表人资格证明书</w:t>
      </w:r>
      <w:bookmarkEnd w:id="17"/>
      <w:bookmarkEnd w:id="18"/>
    </w:p>
    <w:p w14:paraId="1A9D7CE8">
      <w:pPr>
        <w:rPr>
          <w:color w:val="000000"/>
        </w:rPr>
      </w:pPr>
    </w:p>
    <w:p w14:paraId="63E7CF98">
      <w:pPr>
        <w:jc w:val="center"/>
        <w:rPr>
          <w:b/>
          <w:sz w:val="32"/>
          <w:szCs w:val="32"/>
        </w:rPr>
      </w:pPr>
      <w:r>
        <w:rPr>
          <w:b/>
          <w:sz w:val="32"/>
          <w:szCs w:val="32"/>
        </w:rPr>
        <w:t>法定代表人资格证明书</w:t>
      </w:r>
    </w:p>
    <w:p w14:paraId="3C0EF223">
      <w:pPr>
        <w:snapToGrid w:val="0"/>
        <w:spacing w:line="360" w:lineRule="auto"/>
        <w:rPr>
          <w:color w:val="000000"/>
          <w:sz w:val="24"/>
        </w:rPr>
      </w:pPr>
    </w:p>
    <w:p w14:paraId="2D2F263A">
      <w:pPr>
        <w:snapToGrid w:val="0"/>
        <w:spacing w:before="156" w:beforeLines="50" w:line="360" w:lineRule="auto"/>
        <w:rPr>
          <w:color w:val="000000"/>
          <w:szCs w:val="21"/>
        </w:rPr>
      </w:pPr>
      <w:r>
        <w:rPr>
          <w:color w:val="000000"/>
          <w:szCs w:val="21"/>
        </w:rPr>
        <w:t xml:space="preserve">    单位名称：</w:t>
      </w:r>
    </w:p>
    <w:p w14:paraId="624645A0">
      <w:pPr>
        <w:snapToGrid w:val="0"/>
        <w:spacing w:before="156" w:beforeLines="50" w:line="360" w:lineRule="auto"/>
        <w:rPr>
          <w:color w:val="000000"/>
          <w:szCs w:val="21"/>
        </w:rPr>
      </w:pPr>
      <w:r>
        <w:rPr>
          <w:color w:val="000000"/>
          <w:szCs w:val="21"/>
        </w:rPr>
        <w:t xml:space="preserve">    公司地址：</w:t>
      </w:r>
    </w:p>
    <w:p w14:paraId="42EEA57A">
      <w:pPr>
        <w:snapToGrid w:val="0"/>
        <w:spacing w:before="156" w:beforeLines="50" w:line="360" w:lineRule="auto"/>
        <w:ind w:firstLine="420" w:firstLineChars="200"/>
        <w:rPr>
          <w:color w:val="000000"/>
          <w:szCs w:val="21"/>
        </w:rPr>
      </w:pPr>
      <w:r>
        <w:rPr>
          <w:color w:val="000000"/>
          <w:szCs w:val="21"/>
        </w:rPr>
        <w:t>公司电话：</w:t>
      </w:r>
    </w:p>
    <w:p w14:paraId="0EC3902D">
      <w:pPr>
        <w:snapToGrid w:val="0"/>
        <w:spacing w:before="156" w:beforeLines="50" w:line="360" w:lineRule="auto"/>
        <w:rPr>
          <w:color w:val="000000"/>
          <w:szCs w:val="21"/>
        </w:rPr>
      </w:pPr>
      <w:r>
        <w:rPr>
          <w:color w:val="000000"/>
          <w:szCs w:val="21"/>
        </w:rPr>
        <w:t xml:space="preserve">    姓名：          性别：           年龄：          职务：</w:t>
      </w:r>
    </w:p>
    <w:p w14:paraId="405DB276">
      <w:pPr>
        <w:snapToGrid w:val="0"/>
        <w:spacing w:line="360" w:lineRule="auto"/>
        <w:rPr>
          <w:color w:val="000000"/>
          <w:szCs w:val="21"/>
        </w:rPr>
      </w:pPr>
    </w:p>
    <w:p w14:paraId="0570B978">
      <w:pPr>
        <w:snapToGrid w:val="0"/>
        <w:spacing w:line="360" w:lineRule="auto"/>
        <w:rPr>
          <w:color w:val="000000"/>
          <w:szCs w:val="21"/>
        </w:rPr>
      </w:pPr>
      <w:r>
        <w:rPr>
          <w:color w:val="000000"/>
          <w:szCs w:val="21"/>
        </w:rPr>
        <w:t xml:space="preserve">    系投标人</w:t>
      </w:r>
      <w:r>
        <w:rPr>
          <w:color w:val="000000"/>
          <w:szCs w:val="21"/>
          <w:u w:val="single"/>
        </w:rPr>
        <w:t xml:space="preserve">                          </w:t>
      </w:r>
      <w:r>
        <w:rPr>
          <w:color w:val="000000"/>
          <w:szCs w:val="21"/>
        </w:rPr>
        <w:t>的法定代表人，为施工、竣工和保修</w:t>
      </w:r>
      <w:r>
        <w:rPr>
          <w:color w:val="000000"/>
          <w:szCs w:val="21"/>
          <w:u w:val="single"/>
        </w:rPr>
        <w:t xml:space="preserve">                        </w:t>
      </w:r>
      <w:r>
        <w:rPr>
          <w:color w:val="000000"/>
          <w:szCs w:val="21"/>
        </w:rPr>
        <w:t>的工程，其有权签署上述工程的投标文件、进行合同谈判、签署合同和处理与之有关的一切事务。</w:t>
      </w:r>
    </w:p>
    <w:p w14:paraId="554BE2C8">
      <w:pPr>
        <w:snapToGrid w:val="0"/>
        <w:spacing w:line="360" w:lineRule="auto"/>
        <w:rPr>
          <w:color w:val="000000"/>
          <w:szCs w:val="21"/>
        </w:rPr>
      </w:pPr>
    </w:p>
    <w:p w14:paraId="59A76D63">
      <w:pPr>
        <w:snapToGrid w:val="0"/>
        <w:spacing w:line="360" w:lineRule="auto"/>
        <w:rPr>
          <w:color w:val="000000"/>
          <w:szCs w:val="21"/>
        </w:rPr>
      </w:pPr>
      <w:r>
        <w:rPr>
          <w:color w:val="000000"/>
          <w:szCs w:val="21"/>
        </w:rPr>
        <w:t xml:space="preserve">    特此证明。</w:t>
      </w:r>
    </w:p>
    <w:tbl>
      <w:tblPr>
        <w:tblStyle w:val="8"/>
        <w:tblW w:w="10572" w:type="dxa"/>
        <w:tblInd w:w="0"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5286"/>
        <w:gridCol w:w="5286"/>
      </w:tblGrid>
      <w:tr w14:paraId="1AAD535D">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4717" w:hRule="atLeast"/>
        </w:trPr>
        <w:tc>
          <w:tcPr>
            <w:tcW w:w="5286" w:type="dxa"/>
          </w:tcPr>
          <w:p w14:paraId="0CB8D4BF">
            <w:pPr>
              <w:spacing w:line="360" w:lineRule="auto"/>
              <w:rPr>
                <w:szCs w:val="21"/>
              </w:rPr>
            </w:pPr>
            <w:r>
              <w:rPr>
                <w:szCs w:val="21"/>
              </w:rPr>
              <w:t>法定代表人身份证（正面）复印件</w:t>
            </w:r>
          </w:p>
          <w:p w14:paraId="5BA2550D">
            <w:pPr>
              <w:spacing w:line="360" w:lineRule="auto"/>
              <w:ind w:firstLine="420" w:firstLineChars="200"/>
              <w:rPr>
                <w:szCs w:val="21"/>
              </w:rPr>
            </w:pPr>
            <w:r>
              <w:rPr>
                <w:szCs w:val="21"/>
              </w:rPr>
              <w:t>（复印或粘贴）</w:t>
            </w:r>
          </w:p>
        </w:tc>
        <w:tc>
          <w:tcPr>
            <w:tcW w:w="5286" w:type="dxa"/>
          </w:tcPr>
          <w:p w14:paraId="38B15430">
            <w:pPr>
              <w:spacing w:line="360" w:lineRule="auto"/>
              <w:ind w:left="1260" w:hanging="1260" w:hangingChars="600"/>
              <w:rPr>
                <w:szCs w:val="21"/>
              </w:rPr>
            </w:pPr>
            <w:r>
              <w:rPr>
                <w:szCs w:val="21"/>
              </w:rPr>
              <w:t>法定代表人身份证（反面）复印件</w:t>
            </w:r>
          </w:p>
          <w:p w14:paraId="085886A4">
            <w:pPr>
              <w:spacing w:line="360" w:lineRule="auto"/>
              <w:ind w:left="1260" w:leftChars="300" w:hanging="630" w:hangingChars="300"/>
              <w:rPr>
                <w:szCs w:val="21"/>
              </w:rPr>
            </w:pPr>
            <w:r>
              <w:rPr>
                <w:szCs w:val="21"/>
              </w:rPr>
              <w:t>（复印或粘贴）</w:t>
            </w:r>
          </w:p>
        </w:tc>
      </w:tr>
    </w:tbl>
    <w:p w14:paraId="6D65F6BD">
      <w:pPr>
        <w:snapToGrid w:val="0"/>
        <w:spacing w:line="360" w:lineRule="auto"/>
        <w:rPr>
          <w:color w:val="000000"/>
          <w:szCs w:val="21"/>
        </w:rPr>
      </w:pPr>
    </w:p>
    <w:p w14:paraId="0FAB6B95">
      <w:pPr>
        <w:snapToGrid w:val="0"/>
        <w:spacing w:line="360" w:lineRule="auto"/>
        <w:ind w:firstLine="5145" w:firstLineChars="2450"/>
        <w:rPr>
          <w:color w:val="000000"/>
          <w:szCs w:val="21"/>
        </w:rPr>
      </w:pPr>
    </w:p>
    <w:p w14:paraId="71D6F745">
      <w:pPr>
        <w:snapToGrid w:val="0"/>
        <w:spacing w:line="360" w:lineRule="auto"/>
        <w:ind w:firstLine="5145" w:firstLineChars="2450"/>
        <w:rPr>
          <w:color w:val="000000"/>
          <w:szCs w:val="21"/>
        </w:rPr>
      </w:pPr>
      <w:r>
        <w:rPr>
          <w:color w:val="000000"/>
          <w:szCs w:val="21"/>
        </w:rPr>
        <w:t xml:space="preserve">投标人：（盖章）                         </w:t>
      </w:r>
    </w:p>
    <w:p w14:paraId="32E0BD17">
      <w:pPr>
        <w:snapToGrid w:val="0"/>
        <w:spacing w:line="360" w:lineRule="auto"/>
        <w:rPr>
          <w:color w:val="000000"/>
          <w:szCs w:val="21"/>
        </w:rPr>
      </w:pPr>
    </w:p>
    <w:p w14:paraId="2601B6C0">
      <w:pPr>
        <w:rPr>
          <w:color w:val="000000"/>
        </w:rPr>
        <w:sectPr>
          <w:pgSz w:w="11906" w:h="16838"/>
          <w:pgMar w:top="1134" w:right="1134" w:bottom="1134" w:left="1134" w:header="567" w:footer="567" w:gutter="0"/>
          <w:cols w:space="425" w:num="1"/>
          <w:docGrid w:type="lines" w:linePitch="312" w:charSpace="0"/>
        </w:sectPr>
      </w:pPr>
      <w:r>
        <w:rPr>
          <w:color w:val="000000"/>
          <w:szCs w:val="21"/>
        </w:rPr>
        <w:t xml:space="preserve">                                                 日期：       年   月   日          </w:t>
      </w:r>
    </w:p>
    <w:p w14:paraId="7E1411F2">
      <w:pPr>
        <w:pStyle w:val="3"/>
        <w:jc w:val="center"/>
        <w:rPr>
          <w:rFonts w:ascii="Times New Roman" w:hAnsi="Times New Roman"/>
          <w:color w:val="000000"/>
        </w:rPr>
      </w:pPr>
      <w:bookmarkStart w:id="19" w:name="_Toc99509424"/>
      <w:bookmarkStart w:id="20" w:name="_Toc89671924"/>
      <w:bookmarkStart w:id="21" w:name="_Toc311737694"/>
      <w:bookmarkStart w:id="22" w:name="_Toc99507428"/>
      <w:bookmarkStart w:id="23" w:name="_Toc201074271"/>
      <w:bookmarkStart w:id="24" w:name="_Toc528418901"/>
      <w:bookmarkStart w:id="25" w:name="_Toc89672276"/>
      <w:bookmarkStart w:id="26" w:name="_Toc89672641"/>
      <w:bookmarkStart w:id="27" w:name="_Toc99506202"/>
      <w:bookmarkStart w:id="28" w:name="_Toc530378427"/>
      <w:bookmarkStart w:id="29" w:name="_Toc89672530"/>
      <w:bookmarkStart w:id="30" w:name="_Toc202465993"/>
      <w:bookmarkStart w:id="31" w:name="_Toc89672122"/>
      <w:bookmarkStart w:id="32" w:name="_Toc89686192"/>
      <w:r>
        <w:rPr>
          <w:rFonts w:ascii="Times New Roman" w:hAnsi="Times New Roman"/>
          <w:color w:val="000000"/>
        </w:rPr>
        <w:t>附件三：授权委托书</w:t>
      </w:r>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773F578B">
      <w:pPr>
        <w:jc w:val="center"/>
        <w:rPr>
          <w:b/>
          <w:sz w:val="32"/>
          <w:szCs w:val="32"/>
        </w:rPr>
      </w:pPr>
      <w:r>
        <w:rPr>
          <w:b/>
          <w:sz w:val="32"/>
          <w:szCs w:val="32"/>
        </w:rPr>
        <w:t>授权委托书</w:t>
      </w:r>
    </w:p>
    <w:p w14:paraId="5068DAC7">
      <w:pPr>
        <w:rPr>
          <w:color w:val="000000"/>
          <w:sz w:val="24"/>
        </w:rPr>
      </w:pPr>
    </w:p>
    <w:p w14:paraId="75ED51AE">
      <w:pPr>
        <w:snapToGrid w:val="0"/>
        <w:spacing w:line="480" w:lineRule="auto"/>
        <w:ind w:firstLine="420" w:firstLineChars="200"/>
        <w:rPr>
          <w:color w:val="000000"/>
          <w:szCs w:val="21"/>
        </w:rPr>
      </w:pPr>
      <w:r>
        <w:rPr>
          <w:color w:val="000000"/>
          <w:szCs w:val="21"/>
        </w:rPr>
        <w:t>本授权委托书声明：我</w:t>
      </w:r>
      <w:r>
        <w:rPr>
          <w:color w:val="000000"/>
          <w:szCs w:val="21"/>
          <w:u w:val="single"/>
        </w:rPr>
        <w:t xml:space="preserve">          </w:t>
      </w:r>
      <w:r>
        <w:rPr>
          <w:color w:val="000000"/>
          <w:szCs w:val="21"/>
        </w:rPr>
        <w:t>（姓名）系</w:t>
      </w:r>
      <w:r>
        <w:rPr>
          <w:color w:val="000000"/>
          <w:szCs w:val="21"/>
          <w:u w:val="single"/>
        </w:rPr>
        <w:t xml:space="preserve">                      </w:t>
      </w:r>
      <w:r>
        <w:rPr>
          <w:color w:val="000000"/>
          <w:szCs w:val="21"/>
        </w:rPr>
        <w:t>（投标人名称）的法定代表人，现授权委托</w:t>
      </w:r>
      <w:r>
        <w:rPr>
          <w:color w:val="000000"/>
          <w:szCs w:val="21"/>
          <w:u w:val="single"/>
        </w:rPr>
        <w:t xml:space="preserve">                        </w:t>
      </w:r>
      <w:r>
        <w:rPr>
          <w:color w:val="000000"/>
          <w:szCs w:val="21"/>
        </w:rPr>
        <w:t>（单位名称）的</w:t>
      </w:r>
      <w:r>
        <w:rPr>
          <w:color w:val="000000"/>
          <w:szCs w:val="21"/>
          <w:u w:val="single"/>
        </w:rPr>
        <w:t xml:space="preserve"> ***（身份证号码：          ）</w:t>
      </w:r>
      <w:r>
        <w:rPr>
          <w:color w:val="000000"/>
          <w:szCs w:val="21"/>
        </w:rPr>
        <w:t>为我公司代理人，以我公司的名义参加</w:t>
      </w:r>
      <w:r>
        <w:rPr>
          <w:color w:val="000000"/>
          <w:szCs w:val="21"/>
          <w:u w:val="single"/>
        </w:rPr>
        <w:t xml:space="preserve">                          </w:t>
      </w:r>
      <w:r>
        <w:rPr>
          <w:color w:val="000000"/>
          <w:szCs w:val="21"/>
        </w:rPr>
        <w:t>（招标人）的</w:t>
      </w:r>
      <w:r>
        <w:rPr>
          <w:color w:val="000000"/>
          <w:szCs w:val="21"/>
          <w:u w:val="single"/>
        </w:rPr>
        <w:t xml:space="preserve">                 </w:t>
      </w:r>
      <w:r>
        <w:rPr>
          <w:color w:val="000000"/>
          <w:szCs w:val="21"/>
        </w:rPr>
        <w:t>工程的投标活动。代理人在开标、评标、合同谈判过程中所签署的一切文件和处理与之有关的一切事务，我公司均予以承认。</w:t>
      </w:r>
    </w:p>
    <w:p w14:paraId="2E55F18F">
      <w:pPr>
        <w:snapToGrid w:val="0"/>
        <w:spacing w:line="360" w:lineRule="auto"/>
        <w:rPr>
          <w:color w:val="000000"/>
          <w:szCs w:val="21"/>
        </w:rPr>
      </w:pPr>
      <w:r>
        <w:rPr>
          <w:color w:val="000000"/>
          <w:szCs w:val="21"/>
        </w:rPr>
        <w:t xml:space="preserve">    代理人无转委托权。特此委托。</w:t>
      </w:r>
    </w:p>
    <w:p w14:paraId="30783F76">
      <w:pPr>
        <w:snapToGrid w:val="0"/>
        <w:spacing w:line="360" w:lineRule="auto"/>
        <w:rPr>
          <w:color w:val="000000"/>
          <w:szCs w:val="21"/>
        </w:rPr>
      </w:pPr>
    </w:p>
    <w:p w14:paraId="32D0ECCF">
      <w:pPr>
        <w:snapToGrid w:val="0"/>
        <w:spacing w:line="360" w:lineRule="auto"/>
        <w:rPr>
          <w:color w:val="000000"/>
          <w:szCs w:val="21"/>
        </w:rPr>
      </w:pPr>
      <w:r>
        <w:rPr>
          <w:color w:val="000000"/>
          <w:szCs w:val="21"/>
        </w:rPr>
        <w:t xml:space="preserve">    代理人：             性别：         年龄：</w:t>
      </w:r>
    </w:p>
    <w:p w14:paraId="54251844">
      <w:pPr>
        <w:snapToGrid w:val="0"/>
        <w:spacing w:line="360" w:lineRule="auto"/>
        <w:rPr>
          <w:color w:val="000000"/>
          <w:szCs w:val="21"/>
        </w:rPr>
      </w:pPr>
      <w:r>
        <w:rPr>
          <w:color w:val="000000"/>
          <w:szCs w:val="21"/>
        </w:rPr>
        <w:t xml:space="preserve">    部  门：             职务：         联系电话：</w:t>
      </w:r>
    </w:p>
    <w:tbl>
      <w:tblPr>
        <w:tblStyle w:val="8"/>
        <w:tblW w:w="11080" w:type="dxa"/>
        <w:tblInd w:w="-449"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5540"/>
        <w:gridCol w:w="5540"/>
      </w:tblGrid>
      <w:tr w14:paraId="49B7E476">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3901" w:hRule="atLeast"/>
        </w:trPr>
        <w:tc>
          <w:tcPr>
            <w:tcW w:w="5540" w:type="dxa"/>
          </w:tcPr>
          <w:p w14:paraId="68071384">
            <w:pPr>
              <w:adjustRightInd w:val="0"/>
              <w:snapToGrid w:val="0"/>
              <w:spacing w:line="360" w:lineRule="auto"/>
              <w:rPr>
                <w:szCs w:val="21"/>
              </w:rPr>
            </w:pPr>
            <w:r>
              <w:rPr>
                <w:szCs w:val="21"/>
              </w:rPr>
              <w:t>法定代表人身份证（正、反面）复印件</w:t>
            </w:r>
          </w:p>
          <w:p w14:paraId="64D1B416">
            <w:pPr>
              <w:adjustRightInd w:val="0"/>
              <w:snapToGrid w:val="0"/>
              <w:spacing w:line="360" w:lineRule="auto"/>
              <w:ind w:firstLine="945" w:firstLineChars="450"/>
              <w:rPr>
                <w:szCs w:val="21"/>
              </w:rPr>
            </w:pPr>
            <w:r>
              <w:rPr>
                <w:szCs w:val="21"/>
              </w:rPr>
              <w:t>（复印或粘贴）</w:t>
            </w:r>
          </w:p>
        </w:tc>
        <w:tc>
          <w:tcPr>
            <w:tcW w:w="5540" w:type="dxa"/>
          </w:tcPr>
          <w:p w14:paraId="5D31828C">
            <w:pPr>
              <w:adjustRightInd w:val="0"/>
              <w:snapToGrid w:val="0"/>
              <w:spacing w:line="360" w:lineRule="auto"/>
              <w:ind w:left="945" w:hanging="945" w:hangingChars="450"/>
              <w:rPr>
                <w:szCs w:val="21"/>
              </w:rPr>
            </w:pPr>
            <w:r>
              <w:rPr>
                <w:szCs w:val="21"/>
              </w:rPr>
              <w:t>授权代表人身份证（正、反面）复印件</w:t>
            </w:r>
          </w:p>
          <w:p w14:paraId="134649FF">
            <w:pPr>
              <w:adjustRightInd w:val="0"/>
              <w:snapToGrid w:val="0"/>
              <w:spacing w:line="360" w:lineRule="auto"/>
              <w:ind w:left="945" w:leftChars="400" w:hanging="105" w:hangingChars="50"/>
              <w:rPr>
                <w:szCs w:val="21"/>
              </w:rPr>
            </w:pPr>
            <w:r>
              <w:rPr>
                <w:szCs w:val="21"/>
              </w:rPr>
              <w:t>（复印或粘贴）</w:t>
            </w:r>
          </w:p>
        </w:tc>
      </w:tr>
    </w:tbl>
    <w:p w14:paraId="4BA3A990">
      <w:pPr>
        <w:snapToGrid w:val="0"/>
        <w:spacing w:line="360" w:lineRule="auto"/>
        <w:rPr>
          <w:color w:val="000000"/>
          <w:szCs w:val="21"/>
        </w:rPr>
      </w:pPr>
    </w:p>
    <w:p w14:paraId="035AF4D3">
      <w:pPr>
        <w:snapToGrid w:val="0"/>
        <w:spacing w:line="360" w:lineRule="auto"/>
        <w:rPr>
          <w:color w:val="000000"/>
          <w:szCs w:val="21"/>
        </w:rPr>
      </w:pPr>
    </w:p>
    <w:p w14:paraId="772A7B44">
      <w:pPr>
        <w:snapToGrid w:val="0"/>
        <w:spacing w:line="360" w:lineRule="auto"/>
        <w:rPr>
          <w:color w:val="000000"/>
          <w:szCs w:val="21"/>
        </w:rPr>
      </w:pPr>
      <w:r>
        <w:rPr>
          <w:color w:val="000000"/>
          <w:szCs w:val="21"/>
        </w:rPr>
        <w:t xml:space="preserve">                                                   投标人：（盖章）</w:t>
      </w:r>
    </w:p>
    <w:p w14:paraId="6C100236">
      <w:pPr>
        <w:snapToGrid w:val="0"/>
        <w:spacing w:line="360" w:lineRule="auto"/>
        <w:rPr>
          <w:color w:val="000000"/>
          <w:szCs w:val="21"/>
        </w:rPr>
      </w:pPr>
    </w:p>
    <w:p w14:paraId="42CC3498">
      <w:pPr>
        <w:snapToGrid w:val="0"/>
        <w:spacing w:line="360" w:lineRule="auto"/>
        <w:rPr>
          <w:color w:val="000000"/>
          <w:szCs w:val="21"/>
        </w:rPr>
      </w:pPr>
      <w:r>
        <w:rPr>
          <w:color w:val="000000"/>
          <w:szCs w:val="21"/>
        </w:rPr>
        <w:t xml:space="preserve">                                                   法定代表人：（盖章）</w:t>
      </w:r>
    </w:p>
    <w:p w14:paraId="13F9E300">
      <w:pPr>
        <w:snapToGrid w:val="0"/>
        <w:spacing w:line="360" w:lineRule="auto"/>
        <w:ind w:firstLine="4200" w:firstLineChars="2000"/>
        <w:rPr>
          <w:color w:val="000000"/>
          <w:szCs w:val="21"/>
        </w:rPr>
      </w:pPr>
    </w:p>
    <w:p w14:paraId="3EB15953">
      <w:pPr>
        <w:snapToGrid w:val="0"/>
        <w:spacing w:line="360" w:lineRule="auto"/>
        <w:ind w:firstLine="5460" w:firstLineChars="2600"/>
        <w:rPr>
          <w:color w:val="000000"/>
          <w:szCs w:val="21"/>
        </w:rPr>
      </w:pPr>
      <w:r>
        <w:rPr>
          <w:color w:val="000000"/>
          <w:szCs w:val="21"/>
        </w:rPr>
        <w:t>日期：     年    月    日</w:t>
      </w:r>
    </w:p>
    <w:p w14:paraId="665A27B6">
      <w:pPr>
        <w:snapToGrid w:val="0"/>
        <w:spacing w:line="360" w:lineRule="auto"/>
        <w:rPr>
          <w:color w:val="000000"/>
          <w:szCs w:val="21"/>
        </w:rPr>
      </w:pPr>
    </w:p>
    <w:p w14:paraId="4E453C62">
      <w:pPr>
        <w:tabs>
          <w:tab w:val="left" w:pos="5760"/>
        </w:tabs>
        <w:autoSpaceDE w:val="0"/>
        <w:autoSpaceDN w:val="0"/>
        <w:adjustRightInd w:val="0"/>
        <w:snapToGrid w:val="0"/>
        <w:spacing w:line="360" w:lineRule="auto"/>
        <w:ind w:left="424" w:right="11" w:hanging="424" w:hangingChars="202"/>
        <w:jc w:val="left"/>
        <w:rPr>
          <w:kern w:val="0"/>
          <w:szCs w:val="21"/>
        </w:rPr>
      </w:pPr>
      <w:r>
        <w:rPr>
          <w:kern w:val="0"/>
          <w:szCs w:val="21"/>
        </w:rPr>
        <w:t>注：法定代表人参加投标活动并签署文件的不需要授权委托书，只需提供法定代表人身份证明；非法定代表人参加投标活动及签署文件的须提供附有法定代表人身份证明的授权委托书。</w:t>
      </w:r>
    </w:p>
    <w:p w14:paraId="2AC9E8B2">
      <w:pPr>
        <w:snapToGrid w:val="0"/>
        <w:spacing w:line="360" w:lineRule="auto"/>
        <w:ind w:firstLine="4305" w:firstLineChars="2050"/>
        <w:rPr>
          <w:color w:val="000000"/>
        </w:rPr>
      </w:pPr>
    </w:p>
    <w:p w14:paraId="4EF28548">
      <w:pPr>
        <w:snapToGrid w:val="0"/>
        <w:spacing w:line="360" w:lineRule="auto"/>
        <w:ind w:firstLine="4305" w:firstLineChars="2050"/>
        <w:rPr>
          <w:color w:val="000000"/>
        </w:rPr>
      </w:pPr>
    </w:p>
    <w:p w14:paraId="13150C94">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r>
        <w:rPr>
          <w:rFonts w:eastAsia="黑体"/>
          <w:b/>
          <w:bCs/>
          <w:kern w:val="0"/>
          <w:sz w:val="32"/>
          <w:szCs w:val="21"/>
          <w:lang w:val="zh-CN" w:eastAsia="zh-CN"/>
        </w:rPr>
        <w:t>附件四：投标人的营业执照、资质等级证书、安全生产许可证</w:t>
      </w:r>
    </w:p>
    <w:p w14:paraId="5A96AE39">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05F6F957">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0A8D6C99">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626B4FEF">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438E1EA9">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66B864A4">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0D44604D">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748AB864">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44255AA3">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666E9B42">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15DF7602">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328960EA">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3D0CFF7B">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639AC249">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2AFF9062">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7FEEA838">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6AE51C3A">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3FED5647">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6F99A337">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3C25ABCE">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48EFD1E5">
      <w:pPr>
        <w:autoSpaceDE w:val="0"/>
        <w:autoSpaceDN w:val="0"/>
        <w:adjustRightInd w:val="0"/>
        <w:spacing w:line="360" w:lineRule="auto"/>
        <w:ind w:left="1384" w:leftChars="200" w:hanging="964" w:hangingChars="300"/>
        <w:jc w:val="left"/>
        <w:rPr>
          <w:rFonts w:eastAsia="黑体"/>
          <w:b/>
          <w:bCs/>
          <w:kern w:val="0"/>
          <w:sz w:val="32"/>
          <w:szCs w:val="21"/>
          <w:lang w:val="zh-CN" w:eastAsia="zh-CN"/>
        </w:rPr>
      </w:pPr>
    </w:p>
    <w:p w14:paraId="52B3F9C5">
      <w:pPr>
        <w:pStyle w:val="3"/>
        <w:spacing w:before="0" w:after="0" w:line="240" w:lineRule="auto"/>
        <w:jc w:val="center"/>
        <w:rPr>
          <w:rFonts w:ascii="Times New Roman" w:hAnsi="Times New Roman"/>
          <w:color w:val="000000"/>
          <w:szCs w:val="30"/>
        </w:rPr>
      </w:pPr>
      <w:r>
        <w:rPr>
          <w:rFonts w:ascii="Times New Roman" w:hAnsi="Times New Roman"/>
          <w:szCs w:val="21"/>
          <w:lang w:eastAsia="zh-CN"/>
        </w:rPr>
        <w:t xml:space="preserve">附件五 </w:t>
      </w:r>
      <w:r>
        <w:rPr>
          <w:rFonts w:ascii="Times New Roman" w:hAnsi="Times New Roman"/>
          <w:szCs w:val="21"/>
        </w:rPr>
        <w:t>近三年类似工程业绩表（盖公章）</w:t>
      </w:r>
    </w:p>
    <w:p w14:paraId="1FD28DE3">
      <w:pPr>
        <w:snapToGrid w:val="0"/>
        <w:spacing w:line="360" w:lineRule="auto"/>
        <w:ind w:firstLine="4305" w:firstLineChars="2050"/>
        <w:rPr>
          <w:color w:val="000000"/>
          <w:lang w:val="zh-CN"/>
        </w:rPr>
      </w:pPr>
    </w:p>
    <w:p w14:paraId="3EBFDA72">
      <w:pPr>
        <w:snapToGrid w:val="0"/>
        <w:spacing w:line="360" w:lineRule="auto"/>
        <w:ind w:firstLine="4305" w:firstLineChars="2050"/>
        <w:rPr>
          <w:color w:val="000000"/>
          <w:lang w:val="zh-CN"/>
        </w:rPr>
      </w:pPr>
    </w:p>
    <w:p w14:paraId="1285FE13">
      <w:pPr>
        <w:rPr>
          <w:lang w:val="zh-CN"/>
        </w:rPr>
      </w:pPr>
    </w:p>
    <w:p w14:paraId="25990953">
      <w:pPr>
        <w:rPr>
          <w:lang w:val="zh-CN"/>
        </w:rPr>
      </w:pPr>
    </w:p>
    <w:p w14:paraId="1C50A41F">
      <w:pPr>
        <w:rPr>
          <w:lang w:val="zh-CN"/>
        </w:rPr>
      </w:pPr>
    </w:p>
    <w:p w14:paraId="02BDCB04">
      <w:pPr>
        <w:rPr>
          <w:lang w:val="zh-CN"/>
        </w:rPr>
      </w:pPr>
    </w:p>
    <w:p w14:paraId="5CB9CD78">
      <w:pPr>
        <w:rPr>
          <w:lang w:val="zh-CN"/>
        </w:rPr>
      </w:pPr>
    </w:p>
    <w:p w14:paraId="18B4D200">
      <w:pPr>
        <w:rPr>
          <w:lang w:val="zh-CN"/>
        </w:rPr>
      </w:pPr>
    </w:p>
    <w:p w14:paraId="5E36DCBF">
      <w:pPr>
        <w:rPr>
          <w:lang w:val="zh-CN"/>
        </w:rPr>
      </w:pPr>
    </w:p>
    <w:p w14:paraId="2AA3807A">
      <w:pPr>
        <w:rPr>
          <w:lang w:val="zh-CN"/>
        </w:rPr>
      </w:pPr>
    </w:p>
    <w:p w14:paraId="59DB58A9">
      <w:pPr>
        <w:rPr>
          <w:lang w:val="zh-CN"/>
        </w:rPr>
      </w:pPr>
    </w:p>
    <w:p w14:paraId="59A444DE">
      <w:pPr>
        <w:rPr>
          <w:lang w:val="zh-CN"/>
        </w:rPr>
      </w:pPr>
    </w:p>
    <w:p w14:paraId="63C3D0EE">
      <w:pPr>
        <w:rPr>
          <w:lang w:val="zh-CN"/>
        </w:rPr>
      </w:pPr>
    </w:p>
    <w:p w14:paraId="733B6E86">
      <w:pPr>
        <w:rPr>
          <w:lang w:val="zh-CN"/>
        </w:rPr>
      </w:pPr>
    </w:p>
    <w:p w14:paraId="4A4AE9DA">
      <w:pPr>
        <w:rPr>
          <w:lang w:val="zh-CN"/>
        </w:rPr>
      </w:pPr>
    </w:p>
    <w:p w14:paraId="7F23D80A">
      <w:pPr>
        <w:rPr>
          <w:lang w:val="zh-CN"/>
        </w:rPr>
      </w:pPr>
    </w:p>
    <w:p w14:paraId="0E429258">
      <w:pPr>
        <w:rPr>
          <w:lang w:val="zh-CN"/>
        </w:rPr>
      </w:pPr>
    </w:p>
    <w:p w14:paraId="28F69C4F">
      <w:pPr>
        <w:rPr>
          <w:lang w:val="zh-CN"/>
        </w:rPr>
      </w:pPr>
    </w:p>
    <w:p w14:paraId="76F56092">
      <w:pPr>
        <w:rPr>
          <w:lang w:val="zh-CN"/>
        </w:rPr>
      </w:pPr>
    </w:p>
    <w:p w14:paraId="7059E220">
      <w:pPr>
        <w:rPr>
          <w:lang w:val="zh-CN"/>
        </w:rPr>
      </w:pPr>
    </w:p>
    <w:p w14:paraId="5F8F05D0">
      <w:pPr>
        <w:rPr>
          <w:lang w:val="zh-CN"/>
        </w:rPr>
      </w:pPr>
    </w:p>
    <w:p w14:paraId="3B8BCC45">
      <w:pPr>
        <w:rPr>
          <w:lang w:val="zh-CN"/>
        </w:rPr>
      </w:pPr>
    </w:p>
    <w:p w14:paraId="44E21BA7">
      <w:pPr>
        <w:rPr>
          <w:lang w:val="zh-CN"/>
        </w:rPr>
      </w:pPr>
    </w:p>
    <w:p w14:paraId="738B8A20">
      <w:pPr>
        <w:rPr>
          <w:lang w:val="zh-CN"/>
        </w:rPr>
      </w:pPr>
    </w:p>
    <w:p w14:paraId="43CBDC58">
      <w:pPr>
        <w:rPr>
          <w:lang w:val="zh-CN"/>
        </w:rPr>
      </w:pPr>
    </w:p>
    <w:p w14:paraId="2D4D5665">
      <w:pPr>
        <w:rPr>
          <w:lang w:val="zh-CN"/>
        </w:rPr>
      </w:pPr>
    </w:p>
    <w:p w14:paraId="531DD228">
      <w:pPr>
        <w:rPr>
          <w:lang w:val="zh-CN"/>
        </w:rPr>
      </w:pPr>
    </w:p>
    <w:p w14:paraId="50CCE9A0">
      <w:pPr>
        <w:rPr>
          <w:lang w:val="zh-CN"/>
        </w:rPr>
      </w:pPr>
    </w:p>
    <w:p w14:paraId="4CF47120">
      <w:pPr>
        <w:rPr>
          <w:lang w:val="zh-CN"/>
        </w:rPr>
      </w:pPr>
    </w:p>
    <w:p w14:paraId="56B567B1">
      <w:pPr>
        <w:rPr>
          <w:lang w:val="zh-CN"/>
        </w:rPr>
      </w:pPr>
    </w:p>
    <w:p w14:paraId="61F9B167">
      <w:pPr>
        <w:rPr>
          <w:lang w:val="zh-CN"/>
        </w:rPr>
      </w:pPr>
    </w:p>
    <w:p w14:paraId="2EF1C53C">
      <w:pPr>
        <w:rPr>
          <w:lang w:val="zh-CN"/>
        </w:rPr>
      </w:pPr>
    </w:p>
    <w:p w14:paraId="539BFE07">
      <w:pPr>
        <w:rPr>
          <w:lang w:val="zh-CN"/>
        </w:rPr>
      </w:pPr>
    </w:p>
    <w:p w14:paraId="4E6BA2EF">
      <w:pPr>
        <w:rPr>
          <w:lang w:val="zh-CN"/>
        </w:rPr>
      </w:pPr>
    </w:p>
    <w:p w14:paraId="645358BB">
      <w:pPr>
        <w:rPr>
          <w:lang w:val="zh-CN"/>
        </w:rPr>
      </w:pPr>
    </w:p>
    <w:p w14:paraId="614AF88E">
      <w:pPr>
        <w:rPr>
          <w:lang w:val="zh-CN"/>
        </w:rPr>
      </w:pPr>
    </w:p>
    <w:p w14:paraId="6DB77075">
      <w:pPr>
        <w:rPr>
          <w:lang w:val="zh-CN"/>
        </w:rPr>
      </w:pPr>
    </w:p>
    <w:p w14:paraId="2E89D940">
      <w:pPr>
        <w:rPr>
          <w:lang w:val="zh-CN"/>
        </w:rPr>
      </w:pPr>
    </w:p>
    <w:p w14:paraId="7CFB9AD0">
      <w:pPr>
        <w:rPr>
          <w:lang w:val="zh-CN"/>
        </w:rPr>
      </w:pPr>
    </w:p>
    <w:p w14:paraId="5D879926">
      <w:pPr>
        <w:rPr>
          <w:lang w:val="zh-CN"/>
        </w:rPr>
      </w:pPr>
    </w:p>
    <w:p w14:paraId="015E570C">
      <w:pPr>
        <w:rPr>
          <w:lang w:val="zh-CN"/>
        </w:rPr>
      </w:pPr>
    </w:p>
    <w:p w14:paraId="0AB15F05">
      <w:pPr>
        <w:rPr>
          <w:lang w:val="zh-CN"/>
        </w:rPr>
      </w:pPr>
    </w:p>
    <w:p w14:paraId="034D0306">
      <w:pPr>
        <w:rPr>
          <w:lang w:val="zh-CN"/>
        </w:rPr>
      </w:pPr>
    </w:p>
    <w:p w14:paraId="18207A7D">
      <w:pPr>
        <w:rPr>
          <w:lang w:val="zh-CN"/>
        </w:rPr>
      </w:pPr>
    </w:p>
    <w:p w14:paraId="6D820FDD">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hint="default" w:ascii="宋体" w:hAnsi="宋体" w:eastAsia="宋体" w:cs="宋体"/>
          <w:b/>
          <w:bCs/>
          <w:kern w:val="0"/>
          <w:sz w:val="40"/>
          <w:szCs w:val="40"/>
          <w:lang w:val="en-US" w:eastAsia="zh-CN"/>
        </w:rPr>
      </w:pPr>
      <w:r>
        <w:rPr>
          <w:rFonts w:hint="eastAsia" w:ascii="宋体" w:hAnsi="宋体" w:cs="宋体"/>
          <w:b/>
          <w:bCs/>
          <w:kern w:val="0"/>
          <w:sz w:val="40"/>
          <w:szCs w:val="40"/>
        </w:rPr>
        <w:t>投标</w:t>
      </w:r>
      <w:r>
        <w:rPr>
          <w:rFonts w:hint="eastAsia" w:ascii="宋体" w:hAnsi="宋体" w:cs="宋体"/>
          <w:b/>
          <w:bCs/>
          <w:kern w:val="0"/>
          <w:sz w:val="40"/>
          <w:szCs w:val="40"/>
          <w:lang w:val="en-US" w:eastAsia="zh-CN"/>
        </w:rPr>
        <w:t>品牌表</w:t>
      </w:r>
    </w:p>
    <w:p w14:paraId="5F0893C5">
      <w:pPr>
        <w:jc w:val="center"/>
        <w:rPr>
          <w:rFonts w:hint="eastAsia" w:ascii="宋体" w:hAnsi="宋体" w:eastAsia="宋体" w:cs="Times New Roman"/>
          <w:b/>
          <w:bCs/>
          <w:sz w:val="32"/>
          <w:szCs w:val="32"/>
        </w:rPr>
      </w:pPr>
      <w:r>
        <w:rPr>
          <w:rFonts w:hint="eastAsia" w:ascii="宋体" w:hAnsi="宋体" w:eastAsia="宋体" w:cs="Times New Roman"/>
          <w:b/>
          <w:bCs/>
          <w:sz w:val="32"/>
          <w:szCs w:val="32"/>
          <w:lang w:val="en-US" w:eastAsia="zh-CN"/>
        </w:rPr>
        <w:t>供配电工程投标推荐</w:t>
      </w:r>
      <w:r>
        <w:rPr>
          <w:rFonts w:hint="eastAsia" w:ascii="宋体" w:hAnsi="宋体" w:eastAsia="宋体" w:cs="Times New Roman"/>
          <w:b/>
          <w:bCs/>
          <w:sz w:val="32"/>
          <w:szCs w:val="32"/>
        </w:rPr>
        <w:t>品牌选型表</w:t>
      </w:r>
    </w:p>
    <w:tbl>
      <w:tblPr>
        <w:tblStyle w:val="8"/>
        <w:tblpPr w:leftFromText="180" w:rightFromText="180" w:vertAnchor="text" w:horzAnchor="page" w:tblpX="1438" w:tblpY="130"/>
        <w:tblOverlap w:val="never"/>
        <w:tblW w:w="94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
        <w:gridCol w:w="2842"/>
        <w:gridCol w:w="5768"/>
      </w:tblGrid>
      <w:tr w14:paraId="3B9FF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 w:hRule="atLeast"/>
        </w:trPr>
        <w:tc>
          <w:tcPr>
            <w:tcW w:w="841" w:type="dxa"/>
            <w:noWrap w:val="0"/>
            <w:vAlign w:val="center"/>
          </w:tcPr>
          <w:p w14:paraId="16D1F916">
            <w:pPr>
              <w:jc w:val="center"/>
              <w:rPr>
                <w:rFonts w:ascii="楷体" w:hAnsi="楷体" w:eastAsia="楷体" w:cs="楷体"/>
                <w:sz w:val="24"/>
                <w:szCs w:val="24"/>
              </w:rPr>
            </w:pPr>
            <w:r>
              <w:rPr>
                <w:rFonts w:hint="eastAsia" w:ascii="楷体" w:hAnsi="楷体" w:eastAsia="楷体" w:cs="楷体"/>
                <w:sz w:val="24"/>
                <w:szCs w:val="24"/>
              </w:rPr>
              <w:t>序号</w:t>
            </w:r>
          </w:p>
        </w:tc>
        <w:tc>
          <w:tcPr>
            <w:tcW w:w="2842" w:type="dxa"/>
            <w:noWrap w:val="0"/>
            <w:vAlign w:val="center"/>
          </w:tcPr>
          <w:p w14:paraId="17464586">
            <w:pPr>
              <w:jc w:val="center"/>
              <w:rPr>
                <w:rFonts w:ascii="楷体" w:hAnsi="楷体" w:eastAsia="楷体" w:cs="楷体"/>
                <w:sz w:val="24"/>
                <w:szCs w:val="24"/>
              </w:rPr>
            </w:pPr>
            <w:r>
              <w:rPr>
                <w:rFonts w:hint="eastAsia" w:ascii="楷体" w:hAnsi="楷体" w:eastAsia="楷体" w:cs="楷体"/>
                <w:sz w:val="24"/>
                <w:szCs w:val="24"/>
              </w:rPr>
              <w:t>名称</w:t>
            </w:r>
          </w:p>
        </w:tc>
        <w:tc>
          <w:tcPr>
            <w:tcW w:w="5768" w:type="dxa"/>
            <w:noWrap w:val="0"/>
            <w:vAlign w:val="center"/>
          </w:tcPr>
          <w:p w14:paraId="65E69AF2">
            <w:pPr>
              <w:jc w:val="center"/>
              <w:rPr>
                <w:rFonts w:ascii="楷体" w:hAnsi="楷体" w:eastAsia="楷体" w:cs="楷体"/>
                <w:sz w:val="24"/>
                <w:szCs w:val="24"/>
              </w:rPr>
            </w:pPr>
            <w:r>
              <w:rPr>
                <w:rFonts w:hint="eastAsia" w:ascii="楷体" w:hAnsi="楷体" w:eastAsia="楷体" w:cs="楷体"/>
                <w:sz w:val="24"/>
                <w:szCs w:val="24"/>
                <w:lang w:val="en-US" w:eastAsia="zh-CN"/>
              </w:rPr>
              <w:t>推荐</w:t>
            </w:r>
            <w:r>
              <w:rPr>
                <w:rFonts w:hint="eastAsia" w:ascii="楷体" w:hAnsi="楷体" w:eastAsia="楷体" w:cs="楷体"/>
                <w:sz w:val="24"/>
                <w:szCs w:val="24"/>
              </w:rPr>
              <w:t>品牌</w:t>
            </w:r>
          </w:p>
        </w:tc>
      </w:tr>
      <w:tr w14:paraId="38707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841" w:type="dxa"/>
            <w:noWrap w:val="0"/>
            <w:vAlign w:val="center"/>
          </w:tcPr>
          <w:p w14:paraId="106F86EC">
            <w:pPr>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lang w:val="en-US" w:eastAsia="zh-CN"/>
              </w:rPr>
              <w:t>1</w:t>
            </w:r>
          </w:p>
        </w:tc>
        <w:tc>
          <w:tcPr>
            <w:tcW w:w="2842" w:type="dxa"/>
            <w:noWrap w:val="0"/>
            <w:vAlign w:val="center"/>
          </w:tcPr>
          <w:p w14:paraId="6CD15E5F">
            <w:pPr>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lang w:val="en-US" w:eastAsia="zh-CN"/>
              </w:rPr>
              <w:t>变压器</w:t>
            </w:r>
          </w:p>
        </w:tc>
        <w:tc>
          <w:tcPr>
            <w:tcW w:w="5768" w:type="dxa"/>
            <w:noWrap w:val="0"/>
            <w:vAlign w:val="center"/>
          </w:tcPr>
          <w:p w14:paraId="2938BECB">
            <w:pPr>
              <w:jc w:val="center"/>
              <w:rPr>
                <w:rFonts w:hint="default" w:ascii="楷体" w:hAnsi="楷体" w:eastAsia="楷体" w:cs="楷体"/>
                <w:kern w:val="2"/>
                <w:sz w:val="24"/>
                <w:szCs w:val="24"/>
                <w:lang w:val="en-US" w:eastAsia="zh-CN" w:bidi="ar-SA"/>
              </w:rPr>
            </w:pPr>
            <w:r>
              <w:rPr>
                <w:rFonts w:hint="eastAsia" w:ascii="楷体" w:hAnsi="楷体" w:eastAsia="楷体" w:cs="楷体"/>
                <w:sz w:val="24"/>
                <w:szCs w:val="24"/>
                <w:lang w:val="en-US" w:eastAsia="zh-CN"/>
              </w:rPr>
              <w:t>河南天力、特变电工、西门子</w:t>
            </w:r>
          </w:p>
        </w:tc>
      </w:tr>
      <w:tr w14:paraId="7BFB3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841" w:type="dxa"/>
            <w:noWrap w:val="0"/>
            <w:vAlign w:val="center"/>
          </w:tcPr>
          <w:p w14:paraId="11CCB949">
            <w:pPr>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lang w:val="en-US" w:eastAsia="zh-CN"/>
              </w:rPr>
              <w:t>2</w:t>
            </w:r>
          </w:p>
        </w:tc>
        <w:tc>
          <w:tcPr>
            <w:tcW w:w="2842" w:type="dxa"/>
            <w:noWrap w:val="0"/>
            <w:vAlign w:val="center"/>
          </w:tcPr>
          <w:p w14:paraId="054CBB23">
            <w:pPr>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lang w:val="en-US" w:eastAsia="zh-CN"/>
              </w:rPr>
              <w:t>高压电缆</w:t>
            </w:r>
          </w:p>
        </w:tc>
        <w:tc>
          <w:tcPr>
            <w:tcW w:w="5768" w:type="dxa"/>
            <w:noWrap w:val="0"/>
            <w:vAlign w:val="center"/>
          </w:tcPr>
          <w:p w14:paraId="5FC26191">
            <w:pPr>
              <w:jc w:val="center"/>
              <w:rPr>
                <w:rFonts w:hint="default"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上上、远东</w:t>
            </w:r>
          </w:p>
        </w:tc>
      </w:tr>
      <w:tr w14:paraId="5A7D3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841" w:type="dxa"/>
            <w:noWrap w:val="0"/>
            <w:vAlign w:val="center"/>
          </w:tcPr>
          <w:p w14:paraId="7D587B82">
            <w:pPr>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lang w:val="en-US" w:eastAsia="zh-CN"/>
              </w:rPr>
              <w:t>3</w:t>
            </w:r>
          </w:p>
        </w:tc>
        <w:tc>
          <w:tcPr>
            <w:tcW w:w="2842" w:type="dxa"/>
            <w:noWrap w:val="0"/>
            <w:vAlign w:val="center"/>
          </w:tcPr>
          <w:p w14:paraId="3926F5E8">
            <w:pPr>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lang w:val="en-US" w:eastAsia="zh-CN"/>
              </w:rPr>
              <w:t>成套厂</w:t>
            </w:r>
          </w:p>
        </w:tc>
        <w:tc>
          <w:tcPr>
            <w:tcW w:w="5768" w:type="dxa"/>
            <w:noWrap w:val="0"/>
            <w:vAlign w:val="center"/>
          </w:tcPr>
          <w:p w14:paraId="37DA659E">
            <w:pPr>
              <w:jc w:val="center"/>
              <w:rPr>
                <w:rFonts w:hint="default" w:ascii="楷体" w:hAnsi="楷体" w:eastAsia="楷体" w:cs="楷体"/>
                <w:kern w:val="2"/>
                <w:sz w:val="24"/>
                <w:szCs w:val="24"/>
                <w:lang w:val="en-US" w:eastAsia="zh-CN" w:bidi="ar-SA"/>
              </w:rPr>
            </w:pPr>
            <w:r>
              <w:rPr>
                <w:rFonts w:hint="eastAsia" w:ascii="楷体" w:hAnsi="楷体" w:eastAsia="楷体" w:cs="楷体"/>
                <w:sz w:val="24"/>
                <w:szCs w:val="24"/>
                <w:lang w:val="en-US" w:eastAsia="zh-CN"/>
              </w:rPr>
              <w:t>合肥力源、正光电气</w:t>
            </w:r>
          </w:p>
        </w:tc>
      </w:tr>
      <w:tr w14:paraId="0F082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841" w:type="dxa"/>
            <w:noWrap w:val="0"/>
            <w:vAlign w:val="center"/>
          </w:tcPr>
          <w:p w14:paraId="08F0814A">
            <w:pPr>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lang w:val="en-US" w:eastAsia="zh-CN"/>
              </w:rPr>
              <w:t>4</w:t>
            </w:r>
          </w:p>
        </w:tc>
        <w:tc>
          <w:tcPr>
            <w:tcW w:w="2842" w:type="dxa"/>
            <w:noWrap w:val="0"/>
            <w:vAlign w:val="center"/>
          </w:tcPr>
          <w:p w14:paraId="696FAE9C">
            <w:pPr>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10KV真空断路器</w:t>
            </w:r>
          </w:p>
        </w:tc>
        <w:tc>
          <w:tcPr>
            <w:tcW w:w="5768" w:type="dxa"/>
            <w:noWrap w:val="0"/>
            <w:vAlign w:val="center"/>
          </w:tcPr>
          <w:p w14:paraId="450C4C19">
            <w:pPr>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德力西、施耐德、西门子</w:t>
            </w:r>
          </w:p>
        </w:tc>
      </w:tr>
      <w:tr w14:paraId="7B195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841" w:type="dxa"/>
            <w:noWrap w:val="0"/>
            <w:vAlign w:val="center"/>
          </w:tcPr>
          <w:p w14:paraId="467FF3E9">
            <w:pPr>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lang w:val="en-US" w:eastAsia="zh-CN"/>
              </w:rPr>
              <w:t>5</w:t>
            </w:r>
          </w:p>
        </w:tc>
        <w:tc>
          <w:tcPr>
            <w:tcW w:w="2842" w:type="dxa"/>
            <w:noWrap w:val="0"/>
            <w:vAlign w:val="center"/>
          </w:tcPr>
          <w:p w14:paraId="3B75F84A">
            <w:pPr>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低压框架断路器</w:t>
            </w:r>
          </w:p>
        </w:tc>
        <w:tc>
          <w:tcPr>
            <w:tcW w:w="5768" w:type="dxa"/>
            <w:noWrap w:val="0"/>
            <w:vAlign w:val="center"/>
          </w:tcPr>
          <w:p w14:paraId="61118B65">
            <w:pPr>
              <w:jc w:val="center"/>
              <w:rPr>
                <w:rFonts w:ascii="楷体" w:hAnsi="楷体" w:eastAsia="楷体" w:cs="楷体"/>
                <w:sz w:val="24"/>
                <w:szCs w:val="24"/>
              </w:rPr>
            </w:pPr>
            <w:r>
              <w:rPr>
                <w:rFonts w:hint="eastAsia" w:ascii="楷体" w:hAnsi="楷体" w:eastAsia="楷体" w:cs="楷体"/>
                <w:sz w:val="24"/>
                <w:szCs w:val="24"/>
                <w:lang w:val="en-US" w:eastAsia="zh-CN"/>
              </w:rPr>
              <w:t>德力西、施耐德、西门子</w:t>
            </w:r>
          </w:p>
        </w:tc>
      </w:tr>
      <w:tr w14:paraId="35668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841" w:type="dxa"/>
            <w:noWrap w:val="0"/>
            <w:vAlign w:val="center"/>
          </w:tcPr>
          <w:p w14:paraId="6C397385">
            <w:pPr>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lang w:val="en-US" w:eastAsia="zh-CN"/>
              </w:rPr>
              <w:t>6</w:t>
            </w:r>
          </w:p>
        </w:tc>
        <w:tc>
          <w:tcPr>
            <w:tcW w:w="2842" w:type="dxa"/>
            <w:noWrap w:val="0"/>
            <w:vAlign w:val="center"/>
          </w:tcPr>
          <w:p w14:paraId="75E04910">
            <w:pPr>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低压塑壳断路器</w:t>
            </w:r>
          </w:p>
        </w:tc>
        <w:tc>
          <w:tcPr>
            <w:tcW w:w="5768" w:type="dxa"/>
            <w:noWrap w:val="0"/>
            <w:vAlign w:val="center"/>
          </w:tcPr>
          <w:p w14:paraId="5F1714E2">
            <w:pPr>
              <w:jc w:val="center"/>
              <w:rPr>
                <w:rFonts w:ascii="楷体" w:hAnsi="楷体" w:eastAsia="楷体" w:cs="楷体"/>
                <w:sz w:val="24"/>
                <w:szCs w:val="24"/>
              </w:rPr>
            </w:pPr>
            <w:r>
              <w:rPr>
                <w:rFonts w:hint="eastAsia" w:ascii="楷体" w:hAnsi="楷体" w:eastAsia="楷体" w:cs="楷体"/>
                <w:sz w:val="24"/>
                <w:szCs w:val="24"/>
                <w:lang w:val="en-US" w:eastAsia="zh-CN"/>
              </w:rPr>
              <w:t>德力西、施耐德、西门子</w:t>
            </w:r>
          </w:p>
        </w:tc>
      </w:tr>
      <w:tr w14:paraId="44A6A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1" w:type="dxa"/>
            <w:noWrap w:val="0"/>
            <w:vAlign w:val="center"/>
          </w:tcPr>
          <w:p w14:paraId="3FBE4BDC">
            <w:pPr>
              <w:jc w:val="center"/>
              <w:rPr>
                <w:rFonts w:hint="default"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7</w:t>
            </w:r>
          </w:p>
        </w:tc>
        <w:tc>
          <w:tcPr>
            <w:tcW w:w="2842" w:type="dxa"/>
            <w:noWrap w:val="0"/>
            <w:vAlign w:val="center"/>
          </w:tcPr>
          <w:p w14:paraId="6921ED6F">
            <w:pPr>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智能操控</w:t>
            </w:r>
          </w:p>
        </w:tc>
        <w:tc>
          <w:tcPr>
            <w:tcW w:w="5768" w:type="dxa"/>
            <w:noWrap w:val="0"/>
            <w:vAlign w:val="center"/>
          </w:tcPr>
          <w:p w14:paraId="2C4FAB1A">
            <w:pPr>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安徽合自、天正电气</w:t>
            </w:r>
          </w:p>
        </w:tc>
      </w:tr>
      <w:tr w14:paraId="482C1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841" w:type="dxa"/>
            <w:noWrap w:val="0"/>
            <w:vAlign w:val="center"/>
          </w:tcPr>
          <w:p w14:paraId="39817A9D">
            <w:pPr>
              <w:jc w:val="center"/>
              <w:rPr>
                <w:rFonts w:hint="default"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8</w:t>
            </w:r>
          </w:p>
        </w:tc>
        <w:tc>
          <w:tcPr>
            <w:tcW w:w="2842" w:type="dxa"/>
            <w:noWrap w:val="0"/>
            <w:vAlign w:val="center"/>
          </w:tcPr>
          <w:p w14:paraId="0FA7163F">
            <w:pPr>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无功补偿电容电抗</w:t>
            </w:r>
          </w:p>
        </w:tc>
        <w:tc>
          <w:tcPr>
            <w:tcW w:w="5768" w:type="dxa"/>
            <w:noWrap w:val="0"/>
            <w:vAlign w:val="center"/>
          </w:tcPr>
          <w:p w14:paraId="6889B63A">
            <w:pPr>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安徽合自、天正电气</w:t>
            </w:r>
          </w:p>
        </w:tc>
      </w:tr>
      <w:tr w14:paraId="4B3EC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 w:hRule="atLeast"/>
        </w:trPr>
        <w:tc>
          <w:tcPr>
            <w:tcW w:w="841" w:type="dxa"/>
            <w:noWrap w:val="0"/>
            <w:vAlign w:val="center"/>
          </w:tcPr>
          <w:p w14:paraId="33FFF194">
            <w:pPr>
              <w:jc w:val="center"/>
              <w:rPr>
                <w:rFonts w:hint="default"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9</w:t>
            </w:r>
          </w:p>
        </w:tc>
        <w:tc>
          <w:tcPr>
            <w:tcW w:w="2842" w:type="dxa"/>
            <w:noWrap w:val="0"/>
            <w:vAlign w:val="center"/>
          </w:tcPr>
          <w:p w14:paraId="7C8A1001">
            <w:pPr>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互感器</w:t>
            </w:r>
          </w:p>
        </w:tc>
        <w:tc>
          <w:tcPr>
            <w:tcW w:w="5768" w:type="dxa"/>
            <w:noWrap w:val="0"/>
            <w:vAlign w:val="center"/>
          </w:tcPr>
          <w:p w14:paraId="1639683D">
            <w:pPr>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江苏二互、天正电气</w:t>
            </w:r>
          </w:p>
        </w:tc>
      </w:tr>
      <w:tr w14:paraId="7AFB0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841" w:type="dxa"/>
            <w:noWrap w:val="0"/>
            <w:vAlign w:val="center"/>
          </w:tcPr>
          <w:p w14:paraId="47AF544A">
            <w:pPr>
              <w:jc w:val="center"/>
              <w:rPr>
                <w:rFonts w:hint="default"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10</w:t>
            </w:r>
          </w:p>
        </w:tc>
        <w:tc>
          <w:tcPr>
            <w:tcW w:w="2842" w:type="dxa"/>
            <w:noWrap w:val="0"/>
            <w:vAlign w:val="center"/>
          </w:tcPr>
          <w:p w14:paraId="11585348">
            <w:pPr>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仪表</w:t>
            </w:r>
          </w:p>
        </w:tc>
        <w:tc>
          <w:tcPr>
            <w:tcW w:w="5768" w:type="dxa"/>
            <w:noWrap w:val="0"/>
            <w:vAlign w:val="center"/>
          </w:tcPr>
          <w:p w14:paraId="5A3352CB">
            <w:pPr>
              <w:jc w:val="center"/>
              <w:rPr>
                <w:rFonts w:hint="eastAsia" w:ascii="楷体" w:hAnsi="楷体" w:eastAsia="楷体" w:cs="楷体"/>
                <w:sz w:val="24"/>
                <w:szCs w:val="24"/>
              </w:rPr>
            </w:pPr>
            <w:r>
              <w:rPr>
                <w:rFonts w:hint="eastAsia" w:ascii="楷体" w:hAnsi="楷体" w:eastAsia="楷体" w:cs="楷体"/>
                <w:sz w:val="24"/>
                <w:szCs w:val="24"/>
                <w:lang w:val="en-US" w:eastAsia="zh-CN"/>
              </w:rPr>
              <w:t>安徽合自、天正电气</w:t>
            </w:r>
          </w:p>
        </w:tc>
      </w:tr>
      <w:tr w14:paraId="09B4D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 w:hRule="atLeast"/>
        </w:trPr>
        <w:tc>
          <w:tcPr>
            <w:tcW w:w="841" w:type="dxa"/>
            <w:noWrap w:val="0"/>
            <w:vAlign w:val="center"/>
          </w:tcPr>
          <w:p w14:paraId="374A938C">
            <w:pPr>
              <w:jc w:val="center"/>
              <w:rPr>
                <w:rFonts w:hint="default"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11</w:t>
            </w:r>
          </w:p>
        </w:tc>
        <w:tc>
          <w:tcPr>
            <w:tcW w:w="2842" w:type="dxa"/>
            <w:noWrap w:val="0"/>
            <w:vAlign w:val="center"/>
          </w:tcPr>
          <w:p w14:paraId="74B74504">
            <w:pPr>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综保</w:t>
            </w:r>
          </w:p>
        </w:tc>
        <w:tc>
          <w:tcPr>
            <w:tcW w:w="5768" w:type="dxa"/>
            <w:noWrap w:val="0"/>
            <w:vAlign w:val="center"/>
          </w:tcPr>
          <w:p w14:paraId="4AEF7B16">
            <w:pPr>
              <w:jc w:val="center"/>
              <w:rPr>
                <w:rFonts w:hint="eastAsia" w:ascii="楷体" w:hAnsi="楷体" w:eastAsia="楷体" w:cs="楷体"/>
                <w:sz w:val="24"/>
                <w:szCs w:val="24"/>
              </w:rPr>
            </w:pPr>
            <w:r>
              <w:rPr>
                <w:rFonts w:hint="eastAsia" w:ascii="楷体" w:hAnsi="楷体" w:eastAsia="楷体" w:cs="楷体"/>
                <w:sz w:val="24"/>
                <w:szCs w:val="24"/>
                <w:lang w:val="en-US" w:eastAsia="zh-CN"/>
              </w:rPr>
              <w:t>安徽合自、天正电气</w:t>
            </w:r>
          </w:p>
        </w:tc>
      </w:tr>
      <w:tr w14:paraId="6B66D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 w:hRule="atLeast"/>
        </w:trPr>
        <w:tc>
          <w:tcPr>
            <w:tcW w:w="841" w:type="dxa"/>
            <w:noWrap w:val="0"/>
            <w:vAlign w:val="center"/>
          </w:tcPr>
          <w:p w14:paraId="13C72CDA">
            <w:pPr>
              <w:jc w:val="center"/>
              <w:rPr>
                <w:rFonts w:hint="default"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12</w:t>
            </w:r>
          </w:p>
        </w:tc>
        <w:tc>
          <w:tcPr>
            <w:tcW w:w="2842" w:type="dxa"/>
            <w:noWrap w:val="0"/>
            <w:vAlign w:val="center"/>
          </w:tcPr>
          <w:p w14:paraId="28FA2967">
            <w:pPr>
              <w:jc w:val="cente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无线测温</w:t>
            </w:r>
          </w:p>
        </w:tc>
        <w:tc>
          <w:tcPr>
            <w:tcW w:w="5768" w:type="dxa"/>
            <w:noWrap w:val="0"/>
            <w:vAlign w:val="center"/>
          </w:tcPr>
          <w:p w14:paraId="5D83CC0F">
            <w:pPr>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安徽合自、天正电气</w:t>
            </w:r>
          </w:p>
        </w:tc>
      </w:tr>
      <w:tr w14:paraId="7A16D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 w:hRule="atLeast"/>
        </w:trPr>
        <w:tc>
          <w:tcPr>
            <w:tcW w:w="841" w:type="dxa"/>
            <w:noWrap w:val="0"/>
            <w:vAlign w:val="center"/>
          </w:tcPr>
          <w:p w14:paraId="45D2E384">
            <w:pPr>
              <w:jc w:val="center"/>
              <w:rPr>
                <w:rFonts w:hint="default"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13</w:t>
            </w:r>
          </w:p>
        </w:tc>
        <w:tc>
          <w:tcPr>
            <w:tcW w:w="2842" w:type="dxa"/>
            <w:noWrap w:val="0"/>
            <w:vAlign w:val="center"/>
          </w:tcPr>
          <w:p w14:paraId="4E289A89">
            <w:pPr>
              <w:jc w:val="center"/>
              <w:rPr>
                <w:rFonts w:hint="default" w:ascii="楷体" w:hAnsi="楷体" w:eastAsia="楷体" w:cs="楷体"/>
                <w:kern w:val="2"/>
                <w:sz w:val="24"/>
                <w:szCs w:val="24"/>
                <w:lang w:val="en-US" w:eastAsia="zh-CN" w:bidi="ar-SA"/>
              </w:rPr>
            </w:pPr>
            <w:r>
              <w:rPr>
                <w:rFonts w:hint="eastAsia" w:ascii="楷体" w:hAnsi="楷体" w:eastAsia="楷体" w:cs="楷体"/>
                <w:sz w:val="24"/>
                <w:szCs w:val="24"/>
                <w:lang w:val="en-US" w:eastAsia="zh-CN"/>
              </w:rPr>
              <w:t>双电源切换</w:t>
            </w:r>
          </w:p>
        </w:tc>
        <w:tc>
          <w:tcPr>
            <w:tcW w:w="5768" w:type="dxa"/>
            <w:noWrap w:val="0"/>
            <w:vAlign w:val="center"/>
          </w:tcPr>
          <w:p w14:paraId="0CA504A9">
            <w:pPr>
              <w:jc w:val="center"/>
              <w:rPr>
                <w:rFonts w:hint="default" w:ascii="楷体" w:hAnsi="楷体" w:eastAsia="楷体" w:cs="楷体"/>
                <w:sz w:val="24"/>
                <w:szCs w:val="24"/>
                <w:lang w:val="en-US"/>
              </w:rPr>
            </w:pPr>
            <w:r>
              <w:rPr>
                <w:rFonts w:hint="eastAsia" w:ascii="楷体" w:hAnsi="楷体" w:eastAsia="楷体" w:cs="楷体"/>
                <w:sz w:val="24"/>
                <w:szCs w:val="24"/>
                <w:lang w:val="en-US" w:eastAsia="zh-CN"/>
              </w:rPr>
              <w:t>德力西、天正电气</w:t>
            </w:r>
          </w:p>
        </w:tc>
      </w:tr>
      <w:tr w14:paraId="0B918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 w:hRule="atLeast"/>
        </w:trPr>
        <w:tc>
          <w:tcPr>
            <w:tcW w:w="841" w:type="dxa"/>
            <w:noWrap w:val="0"/>
            <w:vAlign w:val="center"/>
          </w:tcPr>
          <w:p w14:paraId="1E9D9335">
            <w:pPr>
              <w:jc w:val="center"/>
              <w:rPr>
                <w:rFonts w:hint="default"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14</w:t>
            </w:r>
          </w:p>
        </w:tc>
        <w:tc>
          <w:tcPr>
            <w:tcW w:w="2842" w:type="dxa"/>
            <w:noWrap w:val="0"/>
            <w:vAlign w:val="center"/>
          </w:tcPr>
          <w:p w14:paraId="6E6D193F">
            <w:pPr>
              <w:jc w:val="center"/>
              <w:rPr>
                <w:rFonts w:hint="eastAsia" w:ascii="楷体" w:hAnsi="楷体" w:eastAsia="楷体" w:cs="楷体"/>
                <w:kern w:val="2"/>
                <w:sz w:val="24"/>
                <w:szCs w:val="24"/>
                <w:lang w:val="en-US" w:eastAsia="zh-CN" w:bidi="ar-SA"/>
              </w:rPr>
            </w:pPr>
            <w:r>
              <w:rPr>
                <w:rFonts w:hint="eastAsia" w:ascii="楷体" w:hAnsi="楷体" w:eastAsia="楷体" w:cs="楷体"/>
                <w:sz w:val="24"/>
                <w:szCs w:val="24"/>
                <w:lang w:val="en-US" w:eastAsia="zh-CN"/>
              </w:rPr>
              <w:t>直流屏</w:t>
            </w:r>
          </w:p>
        </w:tc>
        <w:tc>
          <w:tcPr>
            <w:tcW w:w="5768" w:type="dxa"/>
            <w:noWrap w:val="0"/>
            <w:vAlign w:val="center"/>
          </w:tcPr>
          <w:p w14:paraId="1681E9C5">
            <w:pPr>
              <w:jc w:val="center"/>
              <w:rPr>
                <w:rFonts w:hint="default" w:ascii="楷体" w:hAnsi="楷体" w:eastAsia="楷体" w:cs="楷体"/>
                <w:kern w:val="2"/>
                <w:sz w:val="24"/>
                <w:szCs w:val="24"/>
                <w:lang w:val="en-US" w:eastAsia="zh-CN" w:bidi="ar-SA"/>
              </w:rPr>
            </w:pPr>
            <w:r>
              <w:rPr>
                <w:rFonts w:hint="eastAsia" w:ascii="楷体" w:hAnsi="楷体" w:eastAsia="楷体" w:cs="楷体"/>
                <w:sz w:val="24"/>
                <w:szCs w:val="24"/>
                <w:lang w:val="en-US" w:eastAsia="zh-CN"/>
              </w:rPr>
              <w:t>达美</w:t>
            </w:r>
          </w:p>
        </w:tc>
      </w:tr>
    </w:tbl>
    <w:p w14:paraId="182C265D">
      <w:pPr>
        <w:rPr>
          <w:lang w:val="zh-CN"/>
        </w:rPr>
      </w:pPr>
      <w:bookmarkStart w:id="33" w:name="_GoBack"/>
      <w:bookmarkEnd w:id="33"/>
    </w:p>
    <w:sectPr>
      <w:pgSz w:w="11906" w:h="16838"/>
      <w:pgMar w:top="1134" w:right="1134" w:bottom="1134" w:left="1134"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roman"/>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8BAF2">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19</w:t>
    </w:r>
    <w:r>
      <w:rPr>
        <w:b/>
        <w:bCs/>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7E57F8">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77CC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71F9C">
    <w:pPr>
      <w:pStyle w:val="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487A2">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597875"/>
    <w:multiLevelType w:val="multilevel"/>
    <w:tmpl w:val="16597875"/>
    <w:lvl w:ilvl="0" w:tentative="0">
      <w:start w:val="1"/>
      <w:numFmt w:val="decimal"/>
      <w:pStyle w:val="18"/>
      <w:suff w:val="space"/>
      <w:lvlText w:val="%1"/>
      <w:lvlJc w:val="left"/>
      <w:pPr>
        <w:ind w:left="0" w:firstLine="0"/>
      </w:pPr>
      <w:rPr>
        <w:rFonts w:hint="eastAsia" w:ascii="宋体" w:hAnsi="宋体" w:eastAsia="宋体"/>
        <w:sz w:val="21"/>
        <w:lang w:val="zh-CN"/>
      </w:rPr>
    </w:lvl>
    <w:lvl w:ilvl="1" w:tentative="0">
      <w:start w:val="1"/>
      <w:numFmt w:val="decimal"/>
      <w:pStyle w:val="17"/>
      <w:suff w:val="space"/>
      <w:lvlText w:val="%1.%2"/>
      <w:lvlJc w:val="left"/>
      <w:pPr>
        <w:ind w:left="0" w:firstLine="0"/>
      </w:pPr>
      <w:rPr>
        <w:rFonts w:hint="default" w:ascii="Times New Roman" w:hAnsi="Times New Roman" w:eastAsia="宋体" w:cs="Times New Roman"/>
        <w:b w:val="0"/>
        <w:sz w:val="21"/>
        <w:szCs w:val="21"/>
      </w:rPr>
    </w:lvl>
    <w:lvl w:ilvl="2" w:tentative="0">
      <w:start w:val="1"/>
      <w:numFmt w:val="decimal"/>
      <w:pStyle w:val="16"/>
      <w:suff w:val="space"/>
      <w:lvlText w:val="%1.%2.%3 "/>
      <w:lvlJc w:val="left"/>
      <w:pPr>
        <w:ind w:left="0" w:firstLine="0"/>
      </w:pPr>
      <w:rPr>
        <w:rFonts w:hint="eastAsia"/>
        <w:b w:val="0"/>
        <w:sz w:val="21"/>
        <w:szCs w:val="21"/>
      </w:rPr>
    </w:lvl>
    <w:lvl w:ilvl="3" w:tentative="0">
      <w:start w:val="1"/>
      <w:numFmt w:val="decimal"/>
      <w:pStyle w:val="15"/>
      <w:suff w:val="space"/>
      <w:lvlText w:val="%1.%2.%3.%4"/>
      <w:lvlJc w:val="left"/>
      <w:pPr>
        <w:ind w:left="0" w:firstLine="0"/>
      </w:pPr>
      <w:rPr>
        <w:rFonts w:hint="eastAsia"/>
        <w:sz w:val="21"/>
        <w:szCs w:val="16"/>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25600DC0"/>
    <w:multiLevelType w:val="multilevel"/>
    <w:tmpl w:val="25600DC0"/>
    <w:lvl w:ilvl="0" w:tentative="0">
      <w:start w:val="1"/>
      <w:numFmt w:val="decimal"/>
      <w:lvlText w:val="%1."/>
      <w:lvlJc w:val="left"/>
      <w:pPr>
        <w:tabs>
          <w:tab w:val="left" w:pos="227"/>
        </w:tabs>
        <w:ind w:left="227" w:hanging="227"/>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94B17F8"/>
    <w:multiLevelType w:val="multilevel"/>
    <w:tmpl w:val="494B17F8"/>
    <w:lvl w:ilvl="0" w:tentative="0">
      <w:start w:val="1"/>
      <w:numFmt w:val="decimal"/>
      <w:lvlText w:val="%1."/>
      <w:lvlJc w:val="left"/>
      <w:pPr>
        <w:ind w:left="420" w:hanging="420"/>
      </w:p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wYzM3NzQyNmUyZDI1YWRjMjc4MGFiMjlmNjFiNzQifQ=="/>
  </w:docVars>
  <w:rsids>
    <w:rsidRoot w:val="000F213C"/>
    <w:rsid w:val="0000118A"/>
    <w:rsid w:val="000013BA"/>
    <w:rsid w:val="00001739"/>
    <w:rsid w:val="000064F3"/>
    <w:rsid w:val="00010B1D"/>
    <w:rsid w:val="0001201E"/>
    <w:rsid w:val="0001375F"/>
    <w:rsid w:val="00014295"/>
    <w:rsid w:val="000144B7"/>
    <w:rsid w:val="00016450"/>
    <w:rsid w:val="00016AE7"/>
    <w:rsid w:val="0002096E"/>
    <w:rsid w:val="0002102D"/>
    <w:rsid w:val="00021FFF"/>
    <w:rsid w:val="00024FB7"/>
    <w:rsid w:val="00030568"/>
    <w:rsid w:val="00030E92"/>
    <w:rsid w:val="000319FA"/>
    <w:rsid w:val="0003267C"/>
    <w:rsid w:val="00035E31"/>
    <w:rsid w:val="00036207"/>
    <w:rsid w:val="000378E4"/>
    <w:rsid w:val="00040CFF"/>
    <w:rsid w:val="00046798"/>
    <w:rsid w:val="000471D2"/>
    <w:rsid w:val="00056CFF"/>
    <w:rsid w:val="000611CC"/>
    <w:rsid w:val="00062615"/>
    <w:rsid w:val="00063844"/>
    <w:rsid w:val="00064A81"/>
    <w:rsid w:val="00065334"/>
    <w:rsid w:val="00072CA7"/>
    <w:rsid w:val="00073874"/>
    <w:rsid w:val="00081CF6"/>
    <w:rsid w:val="00087FC1"/>
    <w:rsid w:val="000928AB"/>
    <w:rsid w:val="00094CAE"/>
    <w:rsid w:val="0009586D"/>
    <w:rsid w:val="000977B1"/>
    <w:rsid w:val="000A47B4"/>
    <w:rsid w:val="000A5BDA"/>
    <w:rsid w:val="000B119E"/>
    <w:rsid w:val="000B6077"/>
    <w:rsid w:val="000B67B5"/>
    <w:rsid w:val="000B6AB1"/>
    <w:rsid w:val="000C0DE6"/>
    <w:rsid w:val="000C11CF"/>
    <w:rsid w:val="000C28C7"/>
    <w:rsid w:val="000C3369"/>
    <w:rsid w:val="000C79B7"/>
    <w:rsid w:val="000D2EED"/>
    <w:rsid w:val="000D34D9"/>
    <w:rsid w:val="000D464F"/>
    <w:rsid w:val="000D77D1"/>
    <w:rsid w:val="000E03B7"/>
    <w:rsid w:val="000E0BEA"/>
    <w:rsid w:val="000E0C2F"/>
    <w:rsid w:val="000E32B4"/>
    <w:rsid w:val="000E48D6"/>
    <w:rsid w:val="000E4A94"/>
    <w:rsid w:val="000E67CD"/>
    <w:rsid w:val="000E6B5D"/>
    <w:rsid w:val="000F003E"/>
    <w:rsid w:val="000F07CB"/>
    <w:rsid w:val="000F0D1C"/>
    <w:rsid w:val="000F213C"/>
    <w:rsid w:val="000F3394"/>
    <w:rsid w:val="000F410E"/>
    <w:rsid w:val="000F4261"/>
    <w:rsid w:val="00106D10"/>
    <w:rsid w:val="001122EA"/>
    <w:rsid w:val="001220E4"/>
    <w:rsid w:val="00127108"/>
    <w:rsid w:val="00131D37"/>
    <w:rsid w:val="00132282"/>
    <w:rsid w:val="0013249A"/>
    <w:rsid w:val="00136057"/>
    <w:rsid w:val="00136ADA"/>
    <w:rsid w:val="001418FB"/>
    <w:rsid w:val="00143F39"/>
    <w:rsid w:val="001449C0"/>
    <w:rsid w:val="00146321"/>
    <w:rsid w:val="001470D1"/>
    <w:rsid w:val="001509B9"/>
    <w:rsid w:val="00151999"/>
    <w:rsid w:val="00153C7D"/>
    <w:rsid w:val="0015587B"/>
    <w:rsid w:val="001573F1"/>
    <w:rsid w:val="00160941"/>
    <w:rsid w:val="00160B09"/>
    <w:rsid w:val="001627C1"/>
    <w:rsid w:val="00162B9F"/>
    <w:rsid w:val="001637FF"/>
    <w:rsid w:val="00163D28"/>
    <w:rsid w:val="00164809"/>
    <w:rsid w:val="001657EF"/>
    <w:rsid w:val="00165927"/>
    <w:rsid w:val="00166DC8"/>
    <w:rsid w:val="0017049C"/>
    <w:rsid w:val="001705CA"/>
    <w:rsid w:val="0018372E"/>
    <w:rsid w:val="00184DE0"/>
    <w:rsid w:val="00184EE8"/>
    <w:rsid w:val="00187646"/>
    <w:rsid w:val="00192BFD"/>
    <w:rsid w:val="00193BB5"/>
    <w:rsid w:val="0019527A"/>
    <w:rsid w:val="001957D0"/>
    <w:rsid w:val="00195BC0"/>
    <w:rsid w:val="00196444"/>
    <w:rsid w:val="001A1A30"/>
    <w:rsid w:val="001A3359"/>
    <w:rsid w:val="001A336B"/>
    <w:rsid w:val="001A74D2"/>
    <w:rsid w:val="001B43F7"/>
    <w:rsid w:val="001C1E8F"/>
    <w:rsid w:val="001C7B94"/>
    <w:rsid w:val="001D29B8"/>
    <w:rsid w:val="001E1469"/>
    <w:rsid w:val="001E3E54"/>
    <w:rsid w:val="001E3E5A"/>
    <w:rsid w:val="001F1CDC"/>
    <w:rsid w:val="001F1D05"/>
    <w:rsid w:val="002003C9"/>
    <w:rsid w:val="00204388"/>
    <w:rsid w:val="002071B4"/>
    <w:rsid w:val="00211C85"/>
    <w:rsid w:val="00214AA8"/>
    <w:rsid w:val="00214AB0"/>
    <w:rsid w:val="0021738F"/>
    <w:rsid w:val="00220748"/>
    <w:rsid w:val="00220CA6"/>
    <w:rsid w:val="0022224D"/>
    <w:rsid w:val="002224EB"/>
    <w:rsid w:val="00222B5D"/>
    <w:rsid w:val="002276DB"/>
    <w:rsid w:val="00227964"/>
    <w:rsid w:val="002305DF"/>
    <w:rsid w:val="00233F6D"/>
    <w:rsid w:val="00236C7D"/>
    <w:rsid w:val="00237B50"/>
    <w:rsid w:val="0024148F"/>
    <w:rsid w:val="002450F4"/>
    <w:rsid w:val="00245610"/>
    <w:rsid w:val="00247070"/>
    <w:rsid w:val="002473CC"/>
    <w:rsid w:val="002542E5"/>
    <w:rsid w:val="00263E1D"/>
    <w:rsid w:val="00266807"/>
    <w:rsid w:val="00267CAB"/>
    <w:rsid w:val="00270C8A"/>
    <w:rsid w:val="0027150B"/>
    <w:rsid w:val="002720CE"/>
    <w:rsid w:val="00272DB3"/>
    <w:rsid w:val="00275885"/>
    <w:rsid w:val="002838D8"/>
    <w:rsid w:val="0028450E"/>
    <w:rsid w:val="0028586A"/>
    <w:rsid w:val="00286FD9"/>
    <w:rsid w:val="0029187D"/>
    <w:rsid w:val="00291E71"/>
    <w:rsid w:val="00293BD5"/>
    <w:rsid w:val="00295772"/>
    <w:rsid w:val="002A692C"/>
    <w:rsid w:val="002A728E"/>
    <w:rsid w:val="002B09E6"/>
    <w:rsid w:val="002B24DF"/>
    <w:rsid w:val="002B3054"/>
    <w:rsid w:val="002B5E05"/>
    <w:rsid w:val="002C5D82"/>
    <w:rsid w:val="002C5FA8"/>
    <w:rsid w:val="002D042C"/>
    <w:rsid w:val="002D176A"/>
    <w:rsid w:val="002D1C83"/>
    <w:rsid w:val="002D2A79"/>
    <w:rsid w:val="002D548F"/>
    <w:rsid w:val="002D7431"/>
    <w:rsid w:val="002E07D6"/>
    <w:rsid w:val="002E138C"/>
    <w:rsid w:val="002E4507"/>
    <w:rsid w:val="002E4FA0"/>
    <w:rsid w:val="002E53FC"/>
    <w:rsid w:val="002F1CA2"/>
    <w:rsid w:val="002F1D1E"/>
    <w:rsid w:val="002F7877"/>
    <w:rsid w:val="002F7EC9"/>
    <w:rsid w:val="00300001"/>
    <w:rsid w:val="00304413"/>
    <w:rsid w:val="003064B7"/>
    <w:rsid w:val="00306994"/>
    <w:rsid w:val="00306D4C"/>
    <w:rsid w:val="00322701"/>
    <w:rsid w:val="00323A45"/>
    <w:rsid w:val="003252AF"/>
    <w:rsid w:val="003256F6"/>
    <w:rsid w:val="00326A3A"/>
    <w:rsid w:val="00331D50"/>
    <w:rsid w:val="003328D7"/>
    <w:rsid w:val="00332E68"/>
    <w:rsid w:val="00332EF1"/>
    <w:rsid w:val="00334828"/>
    <w:rsid w:val="0033491F"/>
    <w:rsid w:val="003358D4"/>
    <w:rsid w:val="00335F2E"/>
    <w:rsid w:val="003363F1"/>
    <w:rsid w:val="00340243"/>
    <w:rsid w:val="00350E5C"/>
    <w:rsid w:val="00354817"/>
    <w:rsid w:val="0035626B"/>
    <w:rsid w:val="00357E10"/>
    <w:rsid w:val="00360927"/>
    <w:rsid w:val="003672BA"/>
    <w:rsid w:val="00370859"/>
    <w:rsid w:val="0037088B"/>
    <w:rsid w:val="00374EA2"/>
    <w:rsid w:val="00376191"/>
    <w:rsid w:val="00376D5D"/>
    <w:rsid w:val="00381A08"/>
    <w:rsid w:val="0038402F"/>
    <w:rsid w:val="00384D02"/>
    <w:rsid w:val="0038566E"/>
    <w:rsid w:val="003866FC"/>
    <w:rsid w:val="00390234"/>
    <w:rsid w:val="00392B00"/>
    <w:rsid w:val="003939B5"/>
    <w:rsid w:val="00393D25"/>
    <w:rsid w:val="0039473B"/>
    <w:rsid w:val="00394A13"/>
    <w:rsid w:val="00394C19"/>
    <w:rsid w:val="003966F0"/>
    <w:rsid w:val="00397D1D"/>
    <w:rsid w:val="003B42CC"/>
    <w:rsid w:val="003B4894"/>
    <w:rsid w:val="003B5F8C"/>
    <w:rsid w:val="003C15D9"/>
    <w:rsid w:val="003C189B"/>
    <w:rsid w:val="003C29C0"/>
    <w:rsid w:val="003C3E83"/>
    <w:rsid w:val="003C4402"/>
    <w:rsid w:val="003C6741"/>
    <w:rsid w:val="003D0FAF"/>
    <w:rsid w:val="003D365C"/>
    <w:rsid w:val="003E2F41"/>
    <w:rsid w:val="003E3F7B"/>
    <w:rsid w:val="003E671D"/>
    <w:rsid w:val="003E7328"/>
    <w:rsid w:val="003F15E9"/>
    <w:rsid w:val="003F3631"/>
    <w:rsid w:val="003F45D4"/>
    <w:rsid w:val="003F5881"/>
    <w:rsid w:val="003F747B"/>
    <w:rsid w:val="004014FB"/>
    <w:rsid w:val="00404D08"/>
    <w:rsid w:val="00414839"/>
    <w:rsid w:val="00416B20"/>
    <w:rsid w:val="00422939"/>
    <w:rsid w:val="00424DEE"/>
    <w:rsid w:val="00427452"/>
    <w:rsid w:val="00430CD9"/>
    <w:rsid w:val="00430DA6"/>
    <w:rsid w:val="00431A4C"/>
    <w:rsid w:val="00436790"/>
    <w:rsid w:val="004406E4"/>
    <w:rsid w:val="004459EC"/>
    <w:rsid w:val="00445F5E"/>
    <w:rsid w:val="004540B1"/>
    <w:rsid w:val="004609E0"/>
    <w:rsid w:val="00461F3A"/>
    <w:rsid w:val="00462A0A"/>
    <w:rsid w:val="004632B3"/>
    <w:rsid w:val="0046749D"/>
    <w:rsid w:val="00471406"/>
    <w:rsid w:val="004738A1"/>
    <w:rsid w:val="00473BD9"/>
    <w:rsid w:val="00476943"/>
    <w:rsid w:val="0047777C"/>
    <w:rsid w:val="00477DBD"/>
    <w:rsid w:val="00483BF7"/>
    <w:rsid w:val="004847A8"/>
    <w:rsid w:val="00484843"/>
    <w:rsid w:val="004855F7"/>
    <w:rsid w:val="00487431"/>
    <w:rsid w:val="00490B20"/>
    <w:rsid w:val="00490C93"/>
    <w:rsid w:val="0049479D"/>
    <w:rsid w:val="0049537E"/>
    <w:rsid w:val="00495402"/>
    <w:rsid w:val="00496C9D"/>
    <w:rsid w:val="004A44CE"/>
    <w:rsid w:val="004B34E3"/>
    <w:rsid w:val="004B3CA8"/>
    <w:rsid w:val="004B460C"/>
    <w:rsid w:val="004B6267"/>
    <w:rsid w:val="004C010D"/>
    <w:rsid w:val="004C26AB"/>
    <w:rsid w:val="004C2BFE"/>
    <w:rsid w:val="004C634C"/>
    <w:rsid w:val="004C6DD7"/>
    <w:rsid w:val="004C7599"/>
    <w:rsid w:val="004D0743"/>
    <w:rsid w:val="004D3D21"/>
    <w:rsid w:val="004E203B"/>
    <w:rsid w:val="004E2812"/>
    <w:rsid w:val="004E73B0"/>
    <w:rsid w:val="004F0087"/>
    <w:rsid w:val="004F2D15"/>
    <w:rsid w:val="004F2F6A"/>
    <w:rsid w:val="004F3654"/>
    <w:rsid w:val="004F44D2"/>
    <w:rsid w:val="004F4E11"/>
    <w:rsid w:val="004F4FC8"/>
    <w:rsid w:val="0050037E"/>
    <w:rsid w:val="00500A03"/>
    <w:rsid w:val="00502CD5"/>
    <w:rsid w:val="00511304"/>
    <w:rsid w:val="00512FC3"/>
    <w:rsid w:val="00513E72"/>
    <w:rsid w:val="0051773E"/>
    <w:rsid w:val="00517B32"/>
    <w:rsid w:val="005258E2"/>
    <w:rsid w:val="00531274"/>
    <w:rsid w:val="005327DC"/>
    <w:rsid w:val="00535CEE"/>
    <w:rsid w:val="00550B6E"/>
    <w:rsid w:val="00552039"/>
    <w:rsid w:val="005542EB"/>
    <w:rsid w:val="005563DA"/>
    <w:rsid w:val="00557A38"/>
    <w:rsid w:val="00563321"/>
    <w:rsid w:val="005660E8"/>
    <w:rsid w:val="00570AD8"/>
    <w:rsid w:val="00570B40"/>
    <w:rsid w:val="00572EE9"/>
    <w:rsid w:val="00576C36"/>
    <w:rsid w:val="00577BAA"/>
    <w:rsid w:val="005857A9"/>
    <w:rsid w:val="005909DC"/>
    <w:rsid w:val="00593A25"/>
    <w:rsid w:val="00594791"/>
    <w:rsid w:val="005A22BF"/>
    <w:rsid w:val="005A7E7E"/>
    <w:rsid w:val="005B07F3"/>
    <w:rsid w:val="005B1C47"/>
    <w:rsid w:val="005B213C"/>
    <w:rsid w:val="005B2D22"/>
    <w:rsid w:val="005B3A80"/>
    <w:rsid w:val="005B4AE4"/>
    <w:rsid w:val="005B4C39"/>
    <w:rsid w:val="005B51BE"/>
    <w:rsid w:val="005B600A"/>
    <w:rsid w:val="005C0A9F"/>
    <w:rsid w:val="005C4734"/>
    <w:rsid w:val="005C694D"/>
    <w:rsid w:val="005D0B7E"/>
    <w:rsid w:val="005D4F0D"/>
    <w:rsid w:val="005E2D30"/>
    <w:rsid w:val="005F3A88"/>
    <w:rsid w:val="005F41D2"/>
    <w:rsid w:val="006025F8"/>
    <w:rsid w:val="006028C1"/>
    <w:rsid w:val="006049DF"/>
    <w:rsid w:val="0060522F"/>
    <w:rsid w:val="00607651"/>
    <w:rsid w:val="006160E3"/>
    <w:rsid w:val="00617747"/>
    <w:rsid w:val="00621DDA"/>
    <w:rsid w:val="00623E82"/>
    <w:rsid w:val="00624258"/>
    <w:rsid w:val="006508E6"/>
    <w:rsid w:val="00652363"/>
    <w:rsid w:val="00656DBE"/>
    <w:rsid w:val="00661BDA"/>
    <w:rsid w:val="00662571"/>
    <w:rsid w:val="00664392"/>
    <w:rsid w:val="006702EB"/>
    <w:rsid w:val="00670318"/>
    <w:rsid w:val="00672B9D"/>
    <w:rsid w:val="00674F83"/>
    <w:rsid w:val="006755F8"/>
    <w:rsid w:val="00676CB1"/>
    <w:rsid w:val="00677E75"/>
    <w:rsid w:val="006810B3"/>
    <w:rsid w:val="00694063"/>
    <w:rsid w:val="0069459D"/>
    <w:rsid w:val="006960B9"/>
    <w:rsid w:val="00697425"/>
    <w:rsid w:val="006A18A6"/>
    <w:rsid w:val="006A4453"/>
    <w:rsid w:val="006A4D76"/>
    <w:rsid w:val="006B1C41"/>
    <w:rsid w:val="006B20A8"/>
    <w:rsid w:val="006B4669"/>
    <w:rsid w:val="006C4259"/>
    <w:rsid w:val="006C4CEC"/>
    <w:rsid w:val="006D52C9"/>
    <w:rsid w:val="006D7B57"/>
    <w:rsid w:val="006E0F9D"/>
    <w:rsid w:val="006E0FD1"/>
    <w:rsid w:val="006E1CC5"/>
    <w:rsid w:val="006E24F6"/>
    <w:rsid w:val="006E3437"/>
    <w:rsid w:val="006E3D5F"/>
    <w:rsid w:val="006E524B"/>
    <w:rsid w:val="006E76C9"/>
    <w:rsid w:val="006F08E2"/>
    <w:rsid w:val="006F1489"/>
    <w:rsid w:val="006F1CF0"/>
    <w:rsid w:val="006F26D4"/>
    <w:rsid w:val="006F3077"/>
    <w:rsid w:val="006F58FE"/>
    <w:rsid w:val="00700DD0"/>
    <w:rsid w:val="00703EEB"/>
    <w:rsid w:val="007065C4"/>
    <w:rsid w:val="007107F7"/>
    <w:rsid w:val="00710B92"/>
    <w:rsid w:val="00711C52"/>
    <w:rsid w:val="00711F4E"/>
    <w:rsid w:val="00712471"/>
    <w:rsid w:val="007135BB"/>
    <w:rsid w:val="00713BA4"/>
    <w:rsid w:val="00714CBA"/>
    <w:rsid w:val="007220C6"/>
    <w:rsid w:val="0072499D"/>
    <w:rsid w:val="00737A51"/>
    <w:rsid w:val="0074221A"/>
    <w:rsid w:val="00745AE3"/>
    <w:rsid w:val="00750028"/>
    <w:rsid w:val="007503DB"/>
    <w:rsid w:val="007521CA"/>
    <w:rsid w:val="0075265B"/>
    <w:rsid w:val="00756907"/>
    <w:rsid w:val="00756AD4"/>
    <w:rsid w:val="007617B1"/>
    <w:rsid w:val="00761B44"/>
    <w:rsid w:val="00762FCE"/>
    <w:rsid w:val="00765507"/>
    <w:rsid w:val="007659E9"/>
    <w:rsid w:val="00767BC5"/>
    <w:rsid w:val="00773189"/>
    <w:rsid w:val="00774B9A"/>
    <w:rsid w:val="00774D74"/>
    <w:rsid w:val="0077565A"/>
    <w:rsid w:val="00777723"/>
    <w:rsid w:val="00780B16"/>
    <w:rsid w:val="0078108D"/>
    <w:rsid w:val="00783B35"/>
    <w:rsid w:val="00784E96"/>
    <w:rsid w:val="0079458C"/>
    <w:rsid w:val="00795172"/>
    <w:rsid w:val="00796829"/>
    <w:rsid w:val="00796886"/>
    <w:rsid w:val="007A166A"/>
    <w:rsid w:val="007A1772"/>
    <w:rsid w:val="007A2A74"/>
    <w:rsid w:val="007A662B"/>
    <w:rsid w:val="007B1DEC"/>
    <w:rsid w:val="007B39E2"/>
    <w:rsid w:val="007B4309"/>
    <w:rsid w:val="007B53D3"/>
    <w:rsid w:val="007C1B5C"/>
    <w:rsid w:val="007C35E9"/>
    <w:rsid w:val="007C5FF7"/>
    <w:rsid w:val="007C6134"/>
    <w:rsid w:val="007C785A"/>
    <w:rsid w:val="007D07F0"/>
    <w:rsid w:val="007D1468"/>
    <w:rsid w:val="007D1B6C"/>
    <w:rsid w:val="007D3AE0"/>
    <w:rsid w:val="007D3F0E"/>
    <w:rsid w:val="007E12DB"/>
    <w:rsid w:val="007E30F2"/>
    <w:rsid w:val="007E67F8"/>
    <w:rsid w:val="007F0215"/>
    <w:rsid w:val="007F3AE1"/>
    <w:rsid w:val="007F5713"/>
    <w:rsid w:val="007F7934"/>
    <w:rsid w:val="007F7B56"/>
    <w:rsid w:val="007F7C7C"/>
    <w:rsid w:val="0080019A"/>
    <w:rsid w:val="008018A5"/>
    <w:rsid w:val="00803436"/>
    <w:rsid w:val="00806B03"/>
    <w:rsid w:val="00810EBC"/>
    <w:rsid w:val="00816506"/>
    <w:rsid w:val="00820477"/>
    <w:rsid w:val="008210E2"/>
    <w:rsid w:val="00822532"/>
    <w:rsid w:val="00824C2D"/>
    <w:rsid w:val="00824E54"/>
    <w:rsid w:val="0082549D"/>
    <w:rsid w:val="00826675"/>
    <w:rsid w:val="008273FF"/>
    <w:rsid w:val="008319F9"/>
    <w:rsid w:val="008326D2"/>
    <w:rsid w:val="008327F7"/>
    <w:rsid w:val="00837A2A"/>
    <w:rsid w:val="00840122"/>
    <w:rsid w:val="00841435"/>
    <w:rsid w:val="00845A73"/>
    <w:rsid w:val="0084764F"/>
    <w:rsid w:val="00851646"/>
    <w:rsid w:val="00851890"/>
    <w:rsid w:val="008615CA"/>
    <w:rsid w:val="00861842"/>
    <w:rsid w:val="008662C7"/>
    <w:rsid w:val="0087151D"/>
    <w:rsid w:val="00871D68"/>
    <w:rsid w:val="00873209"/>
    <w:rsid w:val="008746F8"/>
    <w:rsid w:val="008756D3"/>
    <w:rsid w:val="00875846"/>
    <w:rsid w:val="00877855"/>
    <w:rsid w:val="008810DA"/>
    <w:rsid w:val="008821C4"/>
    <w:rsid w:val="00893277"/>
    <w:rsid w:val="00893517"/>
    <w:rsid w:val="00894CA8"/>
    <w:rsid w:val="008A0B00"/>
    <w:rsid w:val="008A2CA6"/>
    <w:rsid w:val="008A364A"/>
    <w:rsid w:val="008A44B8"/>
    <w:rsid w:val="008A702A"/>
    <w:rsid w:val="008B2888"/>
    <w:rsid w:val="008C2012"/>
    <w:rsid w:val="008C263C"/>
    <w:rsid w:val="008C2BB7"/>
    <w:rsid w:val="008C3DFE"/>
    <w:rsid w:val="008C5815"/>
    <w:rsid w:val="008D1245"/>
    <w:rsid w:val="008D1F39"/>
    <w:rsid w:val="008D5E0A"/>
    <w:rsid w:val="008E23FC"/>
    <w:rsid w:val="008E7C22"/>
    <w:rsid w:val="008F09D5"/>
    <w:rsid w:val="008F15DA"/>
    <w:rsid w:val="008F25E6"/>
    <w:rsid w:val="0090057D"/>
    <w:rsid w:val="009022EB"/>
    <w:rsid w:val="009049BA"/>
    <w:rsid w:val="00904C51"/>
    <w:rsid w:val="00910E33"/>
    <w:rsid w:val="009124E1"/>
    <w:rsid w:val="00914FCF"/>
    <w:rsid w:val="00915985"/>
    <w:rsid w:val="00915DFD"/>
    <w:rsid w:val="00920566"/>
    <w:rsid w:val="00920775"/>
    <w:rsid w:val="00922A39"/>
    <w:rsid w:val="00925363"/>
    <w:rsid w:val="009301B5"/>
    <w:rsid w:val="00932CA3"/>
    <w:rsid w:val="00934EB8"/>
    <w:rsid w:val="00937E86"/>
    <w:rsid w:val="00940450"/>
    <w:rsid w:val="00946297"/>
    <w:rsid w:val="00952E8B"/>
    <w:rsid w:val="00957533"/>
    <w:rsid w:val="0095797E"/>
    <w:rsid w:val="0096105C"/>
    <w:rsid w:val="0096264E"/>
    <w:rsid w:val="00966571"/>
    <w:rsid w:val="00971409"/>
    <w:rsid w:val="00972176"/>
    <w:rsid w:val="00972A7E"/>
    <w:rsid w:val="00972BD4"/>
    <w:rsid w:val="00973FD0"/>
    <w:rsid w:val="0097409C"/>
    <w:rsid w:val="00976414"/>
    <w:rsid w:val="009764FB"/>
    <w:rsid w:val="00977621"/>
    <w:rsid w:val="00987962"/>
    <w:rsid w:val="009924EF"/>
    <w:rsid w:val="009A2814"/>
    <w:rsid w:val="009A2D4D"/>
    <w:rsid w:val="009A480E"/>
    <w:rsid w:val="009A6713"/>
    <w:rsid w:val="009B1FA2"/>
    <w:rsid w:val="009B2006"/>
    <w:rsid w:val="009B237F"/>
    <w:rsid w:val="009B313A"/>
    <w:rsid w:val="009B7787"/>
    <w:rsid w:val="009C2B2E"/>
    <w:rsid w:val="009C6498"/>
    <w:rsid w:val="009C6A29"/>
    <w:rsid w:val="009D148C"/>
    <w:rsid w:val="009D1F1E"/>
    <w:rsid w:val="009D2B16"/>
    <w:rsid w:val="009D7535"/>
    <w:rsid w:val="009E05F9"/>
    <w:rsid w:val="009E3041"/>
    <w:rsid w:val="009F35CC"/>
    <w:rsid w:val="009F3EDC"/>
    <w:rsid w:val="009F6217"/>
    <w:rsid w:val="009F673D"/>
    <w:rsid w:val="00A00AB6"/>
    <w:rsid w:val="00A123E9"/>
    <w:rsid w:val="00A1387F"/>
    <w:rsid w:val="00A13D2E"/>
    <w:rsid w:val="00A144EC"/>
    <w:rsid w:val="00A15F1C"/>
    <w:rsid w:val="00A21648"/>
    <w:rsid w:val="00A21FF0"/>
    <w:rsid w:val="00A220AC"/>
    <w:rsid w:val="00A26FF0"/>
    <w:rsid w:val="00A345E2"/>
    <w:rsid w:val="00A40D27"/>
    <w:rsid w:val="00A41C00"/>
    <w:rsid w:val="00A43AFA"/>
    <w:rsid w:val="00A47C3F"/>
    <w:rsid w:val="00A532AB"/>
    <w:rsid w:val="00A54D7C"/>
    <w:rsid w:val="00A5543B"/>
    <w:rsid w:val="00A561FB"/>
    <w:rsid w:val="00A61BD8"/>
    <w:rsid w:val="00A64728"/>
    <w:rsid w:val="00A64EDE"/>
    <w:rsid w:val="00A71CA4"/>
    <w:rsid w:val="00A72A02"/>
    <w:rsid w:val="00A72C67"/>
    <w:rsid w:val="00A74E37"/>
    <w:rsid w:val="00A74F75"/>
    <w:rsid w:val="00A81058"/>
    <w:rsid w:val="00A83540"/>
    <w:rsid w:val="00A8449A"/>
    <w:rsid w:val="00A8473B"/>
    <w:rsid w:val="00A86E88"/>
    <w:rsid w:val="00A8758F"/>
    <w:rsid w:val="00A87A97"/>
    <w:rsid w:val="00A90F72"/>
    <w:rsid w:val="00AA1DA9"/>
    <w:rsid w:val="00AB28E4"/>
    <w:rsid w:val="00AB3A81"/>
    <w:rsid w:val="00AB6E22"/>
    <w:rsid w:val="00AC3D24"/>
    <w:rsid w:val="00AC43D2"/>
    <w:rsid w:val="00AC5D19"/>
    <w:rsid w:val="00AD10F2"/>
    <w:rsid w:val="00AD2882"/>
    <w:rsid w:val="00AD4451"/>
    <w:rsid w:val="00AD5E97"/>
    <w:rsid w:val="00AD6B00"/>
    <w:rsid w:val="00AE062F"/>
    <w:rsid w:val="00AE0BA5"/>
    <w:rsid w:val="00AE4534"/>
    <w:rsid w:val="00AE6416"/>
    <w:rsid w:val="00AF24A2"/>
    <w:rsid w:val="00AF36C3"/>
    <w:rsid w:val="00AF383E"/>
    <w:rsid w:val="00AF5733"/>
    <w:rsid w:val="00AF5B8A"/>
    <w:rsid w:val="00AF6069"/>
    <w:rsid w:val="00B01170"/>
    <w:rsid w:val="00B01916"/>
    <w:rsid w:val="00B05AFA"/>
    <w:rsid w:val="00B06C25"/>
    <w:rsid w:val="00B07CF1"/>
    <w:rsid w:val="00B10B89"/>
    <w:rsid w:val="00B16C85"/>
    <w:rsid w:val="00B16FDA"/>
    <w:rsid w:val="00B20CAA"/>
    <w:rsid w:val="00B22903"/>
    <w:rsid w:val="00B23663"/>
    <w:rsid w:val="00B23E01"/>
    <w:rsid w:val="00B244CB"/>
    <w:rsid w:val="00B26720"/>
    <w:rsid w:val="00B3085A"/>
    <w:rsid w:val="00B3296D"/>
    <w:rsid w:val="00B33C56"/>
    <w:rsid w:val="00B33C6D"/>
    <w:rsid w:val="00B44076"/>
    <w:rsid w:val="00B45DFF"/>
    <w:rsid w:val="00B52EE2"/>
    <w:rsid w:val="00B543A8"/>
    <w:rsid w:val="00B54495"/>
    <w:rsid w:val="00B5566B"/>
    <w:rsid w:val="00B577A8"/>
    <w:rsid w:val="00B620AB"/>
    <w:rsid w:val="00B63F02"/>
    <w:rsid w:val="00B648C3"/>
    <w:rsid w:val="00B65888"/>
    <w:rsid w:val="00B70ADE"/>
    <w:rsid w:val="00B73382"/>
    <w:rsid w:val="00B74350"/>
    <w:rsid w:val="00B76CD8"/>
    <w:rsid w:val="00B77002"/>
    <w:rsid w:val="00B77846"/>
    <w:rsid w:val="00B77C12"/>
    <w:rsid w:val="00B80C3F"/>
    <w:rsid w:val="00B85264"/>
    <w:rsid w:val="00B9113F"/>
    <w:rsid w:val="00B92056"/>
    <w:rsid w:val="00B94B24"/>
    <w:rsid w:val="00BA38A6"/>
    <w:rsid w:val="00BB00E3"/>
    <w:rsid w:val="00BB0EDB"/>
    <w:rsid w:val="00BB109C"/>
    <w:rsid w:val="00BB24B9"/>
    <w:rsid w:val="00BB439E"/>
    <w:rsid w:val="00BB6060"/>
    <w:rsid w:val="00BB6AF8"/>
    <w:rsid w:val="00BB7EC5"/>
    <w:rsid w:val="00BC1B7B"/>
    <w:rsid w:val="00BC2504"/>
    <w:rsid w:val="00BC59A5"/>
    <w:rsid w:val="00BC6E0C"/>
    <w:rsid w:val="00BC7322"/>
    <w:rsid w:val="00BC7BCC"/>
    <w:rsid w:val="00BD3DDD"/>
    <w:rsid w:val="00BD3F43"/>
    <w:rsid w:val="00BD4F18"/>
    <w:rsid w:val="00BD69C8"/>
    <w:rsid w:val="00BD6A99"/>
    <w:rsid w:val="00BD71CE"/>
    <w:rsid w:val="00BE4211"/>
    <w:rsid w:val="00BE45BA"/>
    <w:rsid w:val="00BE539E"/>
    <w:rsid w:val="00BE6291"/>
    <w:rsid w:val="00BE66AA"/>
    <w:rsid w:val="00BF15CA"/>
    <w:rsid w:val="00BF3AF6"/>
    <w:rsid w:val="00BF4ECD"/>
    <w:rsid w:val="00BF53DA"/>
    <w:rsid w:val="00BF5DDC"/>
    <w:rsid w:val="00BF6D5A"/>
    <w:rsid w:val="00C023E8"/>
    <w:rsid w:val="00C03B4E"/>
    <w:rsid w:val="00C04D01"/>
    <w:rsid w:val="00C114C6"/>
    <w:rsid w:val="00C142CF"/>
    <w:rsid w:val="00C22F88"/>
    <w:rsid w:val="00C231C8"/>
    <w:rsid w:val="00C245E1"/>
    <w:rsid w:val="00C26C96"/>
    <w:rsid w:val="00C31F3F"/>
    <w:rsid w:val="00C334BE"/>
    <w:rsid w:val="00C35E94"/>
    <w:rsid w:val="00C36CD4"/>
    <w:rsid w:val="00C40F53"/>
    <w:rsid w:val="00C418FE"/>
    <w:rsid w:val="00C51712"/>
    <w:rsid w:val="00C55E0D"/>
    <w:rsid w:val="00C56A80"/>
    <w:rsid w:val="00C60F33"/>
    <w:rsid w:val="00C60F71"/>
    <w:rsid w:val="00C643FE"/>
    <w:rsid w:val="00C72908"/>
    <w:rsid w:val="00C72CB9"/>
    <w:rsid w:val="00C731F0"/>
    <w:rsid w:val="00C74442"/>
    <w:rsid w:val="00C7531C"/>
    <w:rsid w:val="00C77BF6"/>
    <w:rsid w:val="00C809B5"/>
    <w:rsid w:val="00C84D3C"/>
    <w:rsid w:val="00C85020"/>
    <w:rsid w:val="00C91721"/>
    <w:rsid w:val="00C92FA5"/>
    <w:rsid w:val="00CA1418"/>
    <w:rsid w:val="00CA4C3C"/>
    <w:rsid w:val="00CB0260"/>
    <w:rsid w:val="00CB41DE"/>
    <w:rsid w:val="00CB7BAB"/>
    <w:rsid w:val="00CB7C1A"/>
    <w:rsid w:val="00CC1BF7"/>
    <w:rsid w:val="00CC2833"/>
    <w:rsid w:val="00CC36D5"/>
    <w:rsid w:val="00CC44AD"/>
    <w:rsid w:val="00CC4DDD"/>
    <w:rsid w:val="00CD5E0F"/>
    <w:rsid w:val="00CD7004"/>
    <w:rsid w:val="00CE21F7"/>
    <w:rsid w:val="00CE2AD5"/>
    <w:rsid w:val="00CE68E1"/>
    <w:rsid w:val="00CE6DDF"/>
    <w:rsid w:val="00CF1256"/>
    <w:rsid w:val="00CF42E3"/>
    <w:rsid w:val="00CF4845"/>
    <w:rsid w:val="00CF4A97"/>
    <w:rsid w:val="00CF5E1C"/>
    <w:rsid w:val="00CF7B5B"/>
    <w:rsid w:val="00D031F2"/>
    <w:rsid w:val="00D039DB"/>
    <w:rsid w:val="00D10112"/>
    <w:rsid w:val="00D10553"/>
    <w:rsid w:val="00D10BD1"/>
    <w:rsid w:val="00D131D5"/>
    <w:rsid w:val="00D14C7D"/>
    <w:rsid w:val="00D15527"/>
    <w:rsid w:val="00D26A20"/>
    <w:rsid w:val="00D26B31"/>
    <w:rsid w:val="00D27EC0"/>
    <w:rsid w:val="00D31F39"/>
    <w:rsid w:val="00D32982"/>
    <w:rsid w:val="00D4356B"/>
    <w:rsid w:val="00D4719B"/>
    <w:rsid w:val="00D47418"/>
    <w:rsid w:val="00D51AED"/>
    <w:rsid w:val="00D5235E"/>
    <w:rsid w:val="00D53132"/>
    <w:rsid w:val="00D53366"/>
    <w:rsid w:val="00D5371D"/>
    <w:rsid w:val="00D55F5E"/>
    <w:rsid w:val="00D56C29"/>
    <w:rsid w:val="00D615DC"/>
    <w:rsid w:val="00D621D6"/>
    <w:rsid w:val="00D63E76"/>
    <w:rsid w:val="00D63F57"/>
    <w:rsid w:val="00D65F89"/>
    <w:rsid w:val="00D6726B"/>
    <w:rsid w:val="00D70A46"/>
    <w:rsid w:val="00D734DD"/>
    <w:rsid w:val="00D737CD"/>
    <w:rsid w:val="00D74300"/>
    <w:rsid w:val="00D76800"/>
    <w:rsid w:val="00D7711F"/>
    <w:rsid w:val="00D779BB"/>
    <w:rsid w:val="00D80F4D"/>
    <w:rsid w:val="00D81912"/>
    <w:rsid w:val="00D84048"/>
    <w:rsid w:val="00D8545F"/>
    <w:rsid w:val="00D8716D"/>
    <w:rsid w:val="00D87741"/>
    <w:rsid w:val="00D90376"/>
    <w:rsid w:val="00DA51EB"/>
    <w:rsid w:val="00DA584F"/>
    <w:rsid w:val="00DB24A1"/>
    <w:rsid w:val="00DB25E8"/>
    <w:rsid w:val="00DB28C5"/>
    <w:rsid w:val="00DB584A"/>
    <w:rsid w:val="00DB6F56"/>
    <w:rsid w:val="00DB72A8"/>
    <w:rsid w:val="00DB7B99"/>
    <w:rsid w:val="00DC28C3"/>
    <w:rsid w:val="00DC7751"/>
    <w:rsid w:val="00DD4D12"/>
    <w:rsid w:val="00DD64BB"/>
    <w:rsid w:val="00DE5674"/>
    <w:rsid w:val="00DE68AA"/>
    <w:rsid w:val="00DF1AAD"/>
    <w:rsid w:val="00DF1C87"/>
    <w:rsid w:val="00DF1FB5"/>
    <w:rsid w:val="00DF2BB4"/>
    <w:rsid w:val="00DF5434"/>
    <w:rsid w:val="00E0017C"/>
    <w:rsid w:val="00E0606C"/>
    <w:rsid w:val="00E07886"/>
    <w:rsid w:val="00E07F84"/>
    <w:rsid w:val="00E11804"/>
    <w:rsid w:val="00E12163"/>
    <w:rsid w:val="00E129FF"/>
    <w:rsid w:val="00E14600"/>
    <w:rsid w:val="00E148F5"/>
    <w:rsid w:val="00E17F85"/>
    <w:rsid w:val="00E23C2C"/>
    <w:rsid w:val="00E23F07"/>
    <w:rsid w:val="00E252B2"/>
    <w:rsid w:val="00E27801"/>
    <w:rsid w:val="00E3122B"/>
    <w:rsid w:val="00E314B0"/>
    <w:rsid w:val="00E31E63"/>
    <w:rsid w:val="00E3562E"/>
    <w:rsid w:val="00E369B9"/>
    <w:rsid w:val="00E45EE7"/>
    <w:rsid w:val="00E47CB6"/>
    <w:rsid w:val="00E544C7"/>
    <w:rsid w:val="00E62964"/>
    <w:rsid w:val="00E6793F"/>
    <w:rsid w:val="00E67ACC"/>
    <w:rsid w:val="00E72372"/>
    <w:rsid w:val="00E7791A"/>
    <w:rsid w:val="00E801FC"/>
    <w:rsid w:val="00E817D0"/>
    <w:rsid w:val="00E86116"/>
    <w:rsid w:val="00E862F2"/>
    <w:rsid w:val="00EA2A60"/>
    <w:rsid w:val="00EB0299"/>
    <w:rsid w:val="00EB0B8A"/>
    <w:rsid w:val="00EB1466"/>
    <w:rsid w:val="00EB400A"/>
    <w:rsid w:val="00EB54FD"/>
    <w:rsid w:val="00EB6A10"/>
    <w:rsid w:val="00EB7455"/>
    <w:rsid w:val="00EB7C8E"/>
    <w:rsid w:val="00EC02B5"/>
    <w:rsid w:val="00EC136D"/>
    <w:rsid w:val="00EC7B96"/>
    <w:rsid w:val="00ED179B"/>
    <w:rsid w:val="00ED67C9"/>
    <w:rsid w:val="00EE18EC"/>
    <w:rsid w:val="00EE5FDD"/>
    <w:rsid w:val="00EE6395"/>
    <w:rsid w:val="00EF74D1"/>
    <w:rsid w:val="00F05968"/>
    <w:rsid w:val="00F06A9A"/>
    <w:rsid w:val="00F06AD9"/>
    <w:rsid w:val="00F06EBE"/>
    <w:rsid w:val="00F070C4"/>
    <w:rsid w:val="00F0759D"/>
    <w:rsid w:val="00F23C33"/>
    <w:rsid w:val="00F24904"/>
    <w:rsid w:val="00F2524D"/>
    <w:rsid w:val="00F25303"/>
    <w:rsid w:val="00F303CB"/>
    <w:rsid w:val="00F3695E"/>
    <w:rsid w:val="00F372C1"/>
    <w:rsid w:val="00F4031E"/>
    <w:rsid w:val="00F45776"/>
    <w:rsid w:val="00F45B92"/>
    <w:rsid w:val="00F505E8"/>
    <w:rsid w:val="00F506D6"/>
    <w:rsid w:val="00F53943"/>
    <w:rsid w:val="00F53E08"/>
    <w:rsid w:val="00F5719D"/>
    <w:rsid w:val="00F60241"/>
    <w:rsid w:val="00F606B5"/>
    <w:rsid w:val="00F61481"/>
    <w:rsid w:val="00F62537"/>
    <w:rsid w:val="00F62D43"/>
    <w:rsid w:val="00F6745E"/>
    <w:rsid w:val="00F67574"/>
    <w:rsid w:val="00F67A1D"/>
    <w:rsid w:val="00F704C0"/>
    <w:rsid w:val="00F7768B"/>
    <w:rsid w:val="00F808FF"/>
    <w:rsid w:val="00F83BDE"/>
    <w:rsid w:val="00F83C3B"/>
    <w:rsid w:val="00F84F09"/>
    <w:rsid w:val="00F8638A"/>
    <w:rsid w:val="00F919F1"/>
    <w:rsid w:val="00F93373"/>
    <w:rsid w:val="00F93CC9"/>
    <w:rsid w:val="00F9474C"/>
    <w:rsid w:val="00F96673"/>
    <w:rsid w:val="00F977B2"/>
    <w:rsid w:val="00FA028A"/>
    <w:rsid w:val="00FA0B37"/>
    <w:rsid w:val="00FA2B3C"/>
    <w:rsid w:val="00FA6B3F"/>
    <w:rsid w:val="00FA71AE"/>
    <w:rsid w:val="00FB11C2"/>
    <w:rsid w:val="00FB1A87"/>
    <w:rsid w:val="00FB2B13"/>
    <w:rsid w:val="00FB30A9"/>
    <w:rsid w:val="00FB38F7"/>
    <w:rsid w:val="00FB5AD9"/>
    <w:rsid w:val="00FB6651"/>
    <w:rsid w:val="00FC1E29"/>
    <w:rsid w:val="00FC2F2F"/>
    <w:rsid w:val="00FD08D8"/>
    <w:rsid w:val="00FD2EC9"/>
    <w:rsid w:val="00FD2FE1"/>
    <w:rsid w:val="00FD4D04"/>
    <w:rsid w:val="00FD6201"/>
    <w:rsid w:val="00FD70A2"/>
    <w:rsid w:val="00FD7608"/>
    <w:rsid w:val="00FE1D8F"/>
    <w:rsid w:val="00FE2248"/>
    <w:rsid w:val="00FE7613"/>
    <w:rsid w:val="00FF0207"/>
    <w:rsid w:val="00FF308B"/>
    <w:rsid w:val="00FF4B5F"/>
    <w:rsid w:val="00FF707F"/>
    <w:rsid w:val="00FF75EE"/>
    <w:rsid w:val="03F5697E"/>
    <w:rsid w:val="0411355C"/>
    <w:rsid w:val="04C566E3"/>
    <w:rsid w:val="05120775"/>
    <w:rsid w:val="09471475"/>
    <w:rsid w:val="09C3197A"/>
    <w:rsid w:val="0ED725D0"/>
    <w:rsid w:val="0FD9729F"/>
    <w:rsid w:val="11DF131B"/>
    <w:rsid w:val="130C6140"/>
    <w:rsid w:val="1457163D"/>
    <w:rsid w:val="1521459B"/>
    <w:rsid w:val="18A230A3"/>
    <w:rsid w:val="1A9A6727"/>
    <w:rsid w:val="1E360515"/>
    <w:rsid w:val="1FC81641"/>
    <w:rsid w:val="22E22A19"/>
    <w:rsid w:val="23194F44"/>
    <w:rsid w:val="270441E6"/>
    <w:rsid w:val="27223D2C"/>
    <w:rsid w:val="29064F88"/>
    <w:rsid w:val="29E277A3"/>
    <w:rsid w:val="2A333424"/>
    <w:rsid w:val="2B125E66"/>
    <w:rsid w:val="2E600B6D"/>
    <w:rsid w:val="2EBF00B3"/>
    <w:rsid w:val="31E92DA6"/>
    <w:rsid w:val="32582B2C"/>
    <w:rsid w:val="32F3657D"/>
    <w:rsid w:val="3522139B"/>
    <w:rsid w:val="36D12E15"/>
    <w:rsid w:val="3D3659E4"/>
    <w:rsid w:val="3DE713D4"/>
    <w:rsid w:val="40E64EE0"/>
    <w:rsid w:val="421004D9"/>
    <w:rsid w:val="42C85330"/>
    <w:rsid w:val="451A120C"/>
    <w:rsid w:val="46A13AD2"/>
    <w:rsid w:val="47155564"/>
    <w:rsid w:val="47B73BC5"/>
    <w:rsid w:val="47D44777"/>
    <w:rsid w:val="4AB926A2"/>
    <w:rsid w:val="4B9C1A50"/>
    <w:rsid w:val="4F053468"/>
    <w:rsid w:val="4F4977F9"/>
    <w:rsid w:val="4F50502B"/>
    <w:rsid w:val="4F564808"/>
    <w:rsid w:val="50B80DC6"/>
    <w:rsid w:val="52604A92"/>
    <w:rsid w:val="545962B0"/>
    <w:rsid w:val="56813D1C"/>
    <w:rsid w:val="576633B9"/>
    <w:rsid w:val="5B7E4CCE"/>
    <w:rsid w:val="5FB344E9"/>
    <w:rsid w:val="66B900B3"/>
    <w:rsid w:val="66C0263F"/>
    <w:rsid w:val="67DF6634"/>
    <w:rsid w:val="6833299C"/>
    <w:rsid w:val="6CA7323C"/>
    <w:rsid w:val="6CE8644B"/>
    <w:rsid w:val="6FD462EB"/>
    <w:rsid w:val="716B7B9E"/>
    <w:rsid w:val="723F4D5F"/>
    <w:rsid w:val="72D15E57"/>
    <w:rsid w:val="74CA56AC"/>
    <w:rsid w:val="777A4144"/>
    <w:rsid w:val="7A6335B5"/>
    <w:rsid w:val="7C4F3DF1"/>
    <w:rsid w:val="7D133C34"/>
    <w:rsid w:val="7EDE2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14"/>
    <w:qFormat/>
    <w:uiPriority w:val="0"/>
    <w:pPr>
      <w:keepNext/>
      <w:keepLines/>
      <w:spacing w:before="260" w:after="260" w:line="416" w:lineRule="auto"/>
      <w:outlineLvl w:val="1"/>
    </w:pPr>
    <w:rPr>
      <w:rFonts w:ascii="Arial" w:hAnsi="Arial" w:eastAsia="黑体"/>
      <w:b/>
      <w:bCs/>
      <w:kern w:val="0"/>
      <w:sz w:val="32"/>
      <w:szCs w:val="32"/>
      <w:lang w:val="zh-CN" w:eastAsia="zh-CN"/>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24"/>
    <w:qFormat/>
    <w:uiPriority w:val="0"/>
    <w:rPr>
      <w:rFonts w:ascii="宋体" w:hAnsi="Courier New"/>
      <w:kern w:val="0"/>
      <w:sz w:val="20"/>
      <w:szCs w:val="21"/>
      <w:lang w:val="zh-CN" w:eastAsia="zh-CN"/>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Hyperlink"/>
    <w:qFormat/>
    <w:uiPriority w:val="0"/>
    <w:rPr>
      <w:color w:val="0000FF"/>
      <w:u w:val="single"/>
    </w:rPr>
  </w:style>
  <w:style w:type="character" w:customStyle="1" w:styleId="11">
    <w:name w:val="页眉 Char"/>
    <w:basedOn w:val="9"/>
    <w:link w:val="6"/>
    <w:qFormat/>
    <w:uiPriority w:val="0"/>
    <w:rPr>
      <w:sz w:val="18"/>
      <w:szCs w:val="18"/>
    </w:rPr>
  </w:style>
  <w:style w:type="character" w:customStyle="1" w:styleId="12">
    <w:name w:val="页脚 Char"/>
    <w:basedOn w:val="9"/>
    <w:link w:val="5"/>
    <w:qFormat/>
    <w:uiPriority w:val="99"/>
    <w:rPr>
      <w:sz w:val="18"/>
      <w:szCs w:val="18"/>
    </w:rPr>
  </w:style>
  <w:style w:type="character" w:customStyle="1" w:styleId="13">
    <w:name w:val="标题 1 Char"/>
    <w:basedOn w:val="9"/>
    <w:link w:val="2"/>
    <w:qFormat/>
    <w:uiPriority w:val="0"/>
    <w:rPr>
      <w:rFonts w:ascii="Times New Roman" w:hAnsi="Times New Roman" w:eastAsia="宋体" w:cs="Times New Roman"/>
      <w:b/>
      <w:bCs/>
      <w:kern w:val="44"/>
      <w:sz w:val="44"/>
      <w:szCs w:val="44"/>
      <w:lang w:val="zh-CN" w:eastAsia="zh-CN"/>
    </w:rPr>
  </w:style>
  <w:style w:type="character" w:customStyle="1" w:styleId="14">
    <w:name w:val="标题 2 Char"/>
    <w:basedOn w:val="9"/>
    <w:link w:val="3"/>
    <w:qFormat/>
    <w:uiPriority w:val="0"/>
    <w:rPr>
      <w:rFonts w:ascii="Arial" w:hAnsi="Arial" w:eastAsia="黑体" w:cs="Times New Roman"/>
      <w:b/>
      <w:bCs/>
      <w:kern w:val="0"/>
      <w:sz w:val="32"/>
      <w:szCs w:val="32"/>
      <w:lang w:val="zh-CN" w:eastAsia="zh-CN"/>
    </w:rPr>
  </w:style>
  <w:style w:type="paragraph" w:customStyle="1" w:styleId="15">
    <w:name w:val="样式4"/>
    <w:basedOn w:val="1"/>
    <w:qFormat/>
    <w:uiPriority w:val="0"/>
    <w:pPr>
      <w:numPr>
        <w:ilvl w:val="3"/>
        <w:numId w:val="1"/>
      </w:numPr>
      <w:spacing w:line="400" w:lineRule="exact"/>
    </w:pPr>
    <w:rPr>
      <w:kern w:val="0"/>
      <w:sz w:val="20"/>
      <w:lang w:val="zh-CN" w:eastAsia="zh-CN"/>
    </w:rPr>
  </w:style>
  <w:style w:type="paragraph" w:customStyle="1" w:styleId="16">
    <w:name w:val="样式3"/>
    <w:basedOn w:val="1"/>
    <w:link w:val="22"/>
    <w:qFormat/>
    <w:uiPriority w:val="0"/>
    <w:pPr>
      <w:numPr>
        <w:ilvl w:val="2"/>
        <w:numId w:val="1"/>
      </w:numPr>
      <w:spacing w:line="400" w:lineRule="exact"/>
    </w:pPr>
    <w:rPr>
      <w:kern w:val="0"/>
      <w:sz w:val="20"/>
      <w:lang w:val="zh-CN" w:eastAsia="zh-CN"/>
    </w:rPr>
  </w:style>
  <w:style w:type="paragraph" w:customStyle="1" w:styleId="17">
    <w:name w:val="样式2"/>
    <w:basedOn w:val="1"/>
    <w:link w:val="20"/>
    <w:qFormat/>
    <w:uiPriority w:val="0"/>
    <w:pPr>
      <w:numPr>
        <w:ilvl w:val="1"/>
        <w:numId w:val="1"/>
      </w:numPr>
      <w:spacing w:line="400" w:lineRule="exact"/>
    </w:pPr>
    <w:rPr>
      <w:kern w:val="0"/>
      <w:sz w:val="20"/>
      <w:lang w:val="zh-CN" w:eastAsia="zh-CN"/>
    </w:rPr>
  </w:style>
  <w:style w:type="paragraph" w:customStyle="1" w:styleId="18">
    <w:name w:val="样式1"/>
    <w:basedOn w:val="1"/>
    <w:link w:val="23"/>
    <w:qFormat/>
    <w:uiPriority w:val="0"/>
    <w:pPr>
      <w:numPr>
        <w:ilvl w:val="0"/>
        <w:numId w:val="1"/>
      </w:numPr>
      <w:spacing w:before="50" w:beforeLines="50" w:line="400" w:lineRule="exact"/>
    </w:pPr>
    <w:rPr>
      <w:b/>
      <w:kern w:val="0"/>
      <w:sz w:val="20"/>
      <w:lang w:val="zh-CN" w:eastAsia="zh-CN"/>
    </w:rPr>
  </w:style>
  <w:style w:type="paragraph" w:customStyle="1" w:styleId="19">
    <w:name w:val="样式5"/>
    <w:basedOn w:val="1"/>
    <w:link w:val="21"/>
    <w:qFormat/>
    <w:uiPriority w:val="0"/>
    <w:pPr>
      <w:spacing w:line="400" w:lineRule="exact"/>
      <w:ind w:firstLine="200" w:firstLineChars="200"/>
    </w:pPr>
    <w:rPr>
      <w:kern w:val="0"/>
      <w:sz w:val="20"/>
      <w:lang w:val="zh-CN" w:eastAsia="zh-CN"/>
    </w:rPr>
  </w:style>
  <w:style w:type="character" w:customStyle="1" w:styleId="20">
    <w:name w:val="样式2 Char"/>
    <w:link w:val="17"/>
    <w:qFormat/>
    <w:uiPriority w:val="0"/>
    <w:rPr>
      <w:rFonts w:ascii="Times New Roman" w:hAnsi="Times New Roman" w:eastAsia="宋体" w:cs="Times New Roman"/>
      <w:kern w:val="0"/>
      <w:sz w:val="20"/>
      <w:szCs w:val="24"/>
      <w:lang w:val="zh-CN" w:eastAsia="zh-CN"/>
    </w:rPr>
  </w:style>
  <w:style w:type="character" w:customStyle="1" w:styleId="21">
    <w:name w:val="样式5 Char"/>
    <w:link w:val="19"/>
    <w:qFormat/>
    <w:uiPriority w:val="0"/>
    <w:rPr>
      <w:rFonts w:ascii="Times New Roman" w:hAnsi="Times New Roman" w:eastAsia="宋体" w:cs="Times New Roman"/>
      <w:kern w:val="0"/>
      <w:sz w:val="20"/>
      <w:szCs w:val="24"/>
      <w:lang w:val="zh-CN" w:eastAsia="zh-CN"/>
    </w:rPr>
  </w:style>
  <w:style w:type="character" w:customStyle="1" w:styleId="22">
    <w:name w:val="样式3 Char"/>
    <w:link w:val="16"/>
    <w:qFormat/>
    <w:uiPriority w:val="0"/>
    <w:rPr>
      <w:rFonts w:ascii="Times New Roman" w:hAnsi="Times New Roman" w:eastAsia="宋体" w:cs="Times New Roman"/>
      <w:kern w:val="0"/>
      <w:sz w:val="20"/>
      <w:szCs w:val="24"/>
      <w:lang w:val="zh-CN" w:eastAsia="zh-CN"/>
    </w:rPr>
  </w:style>
  <w:style w:type="character" w:customStyle="1" w:styleId="23">
    <w:name w:val="样式1 Char"/>
    <w:link w:val="18"/>
    <w:qFormat/>
    <w:uiPriority w:val="0"/>
    <w:rPr>
      <w:rFonts w:ascii="Times New Roman" w:hAnsi="Times New Roman" w:eastAsia="宋体" w:cs="Times New Roman"/>
      <w:b/>
      <w:kern w:val="0"/>
      <w:sz w:val="20"/>
      <w:szCs w:val="24"/>
      <w:lang w:val="zh-CN" w:eastAsia="zh-CN"/>
    </w:rPr>
  </w:style>
  <w:style w:type="character" w:customStyle="1" w:styleId="24">
    <w:name w:val="纯文本 Char"/>
    <w:basedOn w:val="9"/>
    <w:link w:val="4"/>
    <w:qFormat/>
    <w:uiPriority w:val="0"/>
    <w:rPr>
      <w:rFonts w:ascii="宋体" w:hAnsi="Courier New" w:eastAsia="宋体" w:cs="Times New Roman"/>
      <w:kern w:val="0"/>
      <w:sz w:val="20"/>
      <w:szCs w:val="21"/>
      <w:lang w:val="zh-CN" w:eastAsia="zh-CN"/>
    </w:rPr>
  </w:style>
  <w:style w:type="paragraph" w:customStyle="1" w:styleId="25">
    <w:name w:val="Table Text"/>
    <w:basedOn w:val="1"/>
    <w:semiHidden/>
    <w:qFormat/>
    <w:uiPriority w:val="0"/>
    <w:rPr>
      <w:rFonts w:ascii="宋体" w:hAnsi="宋体" w:eastAsia="宋体" w:cs="宋体"/>
      <w:sz w:val="24"/>
      <w:szCs w:val="24"/>
      <w:lang w:val="en-US" w:eastAsia="en-US" w:bidi="ar-SA"/>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10932</Words>
  <Characters>11522</Characters>
  <Lines>96</Lines>
  <Paragraphs>27</Paragraphs>
  <TotalTime>0</TotalTime>
  <ScaleCrop>false</ScaleCrop>
  <LinksUpToDate>false</LinksUpToDate>
  <CharactersWithSpaces>12598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2020-12-02T08:34:00Z</dcterms:created>
  <dc:creator>张 晨曦</dc:creator>
  <cp:lastModifiedBy>　　　　　　　　</cp:lastModifiedBy>
  <dcterms:modified xsi:type="dcterms:W3CDTF">2024-09-29T01:14:29Z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6FAEFE0B34BF44FBB4247C2A02500B90_13</vt:lpwstr>
  </property>
</Properties>
</file>